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2057" w14:textId="4C437BA8" w:rsidR="00A81100" w:rsidRPr="00A81100" w:rsidRDefault="00A81100" w:rsidP="003002FF">
      <w:pPr>
        <w:pStyle w:val="NormalWeb"/>
        <w:spacing w:before="0" w:beforeAutospacing="0" w:after="0" w:afterAutospacing="0" w:line="256" w:lineRule="auto"/>
        <w:jc w:val="both"/>
        <w:rPr>
          <w:rFonts w:asciiTheme="majorHAnsi" w:hAnsiTheme="majorHAnsi" w:cstheme="majorHAnsi"/>
          <w:color w:val="67748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</w:p>
    <w:p w14:paraId="501BFE14" w14:textId="36295D2D" w:rsidR="007217CE" w:rsidRPr="007217CE" w:rsidRDefault="003002FF" w:rsidP="007217CE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7217CE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Final Conference of GAPP Joint Action  </w:t>
      </w:r>
    </w:p>
    <w:p w14:paraId="16339C86" w14:textId="7D63916C" w:rsidR="003002FF" w:rsidRPr="007217CE" w:rsidRDefault="003002FF" w:rsidP="007217CE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7217CE">
        <w:rPr>
          <w:rFonts w:asciiTheme="majorHAnsi" w:hAnsiTheme="majorHAnsi" w:cstheme="majorHAnsi"/>
          <w:b/>
          <w:bCs/>
          <w:sz w:val="24"/>
          <w:szCs w:val="24"/>
          <w:lang w:val="en-GB"/>
        </w:rPr>
        <w:t>Establishing standards</w:t>
      </w:r>
      <w:r w:rsidR="007217CE">
        <w:rPr>
          <w:rFonts w:asciiTheme="majorHAnsi" w:hAnsiTheme="majorHAnsi" w:cstheme="majorHAnsi"/>
          <w:b/>
          <w:bCs/>
          <w:sz w:val="24"/>
          <w:szCs w:val="24"/>
          <w:lang w:val="en-GB"/>
        </w:rPr>
        <w:t>,</w:t>
      </w:r>
      <w:r w:rsidRPr="007217CE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and harmonising practices and treatments across the EU in the field of Blood, Tissues and Cells (BTC)</w:t>
      </w:r>
      <w:r w:rsidR="007217CE" w:rsidRPr="007217CE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 </w:t>
      </w:r>
      <w:r w:rsidR="007217CE">
        <w:rPr>
          <w:rFonts w:asciiTheme="majorHAnsi" w:hAnsiTheme="majorHAnsi" w:cstheme="majorHAnsi"/>
          <w:b/>
          <w:bCs/>
          <w:sz w:val="24"/>
          <w:szCs w:val="24"/>
          <w:lang w:val="en-GB"/>
        </w:rPr>
        <w:t xml:space="preserve">- The impact </w:t>
      </w:r>
      <w:r w:rsidR="007217CE" w:rsidRPr="007217CE">
        <w:rPr>
          <w:rFonts w:asciiTheme="majorHAnsi" w:hAnsiTheme="majorHAnsi" w:cstheme="majorHAnsi"/>
          <w:b/>
          <w:bCs/>
          <w:sz w:val="24"/>
          <w:szCs w:val="24"/>
          <w:lang w:val="en-GB"/>
        </w:rPr>
        <w:t>for donors and recipients</w:t>
      </w:r>
    </w:p>
    <w:p w14:paraId="5508871C" w14:textId="77777777" w:rsidR="003002FF" w:rsidRPr="008F0D92" w:rsidRDefault="003002FF" w:rsidP="003002FF">
      <w:pPr>
        <w:rPr>
          <w:rFonts w:asciiTheme="majorHAnsi" w:hAnsiTheme="majorHAnsi" w:cstheme="majorHAnsi"/>
          <w:b/>
          <w:bCs/>
          <w:lang w:val="en-GB"/>
        </w:rPr>
      </w:pPr>
    </w:p>
    <w:p w14:paraId="4334337C" w14:textId="0A609FBB" w:rsidR="003002FF" w:rsidRPr="008F0D92" w:rsidRDefault="003002FF" w:rsidP="003002FF">
      <w:pPr>
        <w:jc w:val="both"/>
        <w:rPr>
          <w:rFonts w:asciiTheme="majorHAnsi" w:hAnsiTheme="majorHAnsi" w:cstheme="majorHAnsi"/>
          <w:lang w:val="en-GB"/>
        </w:rPr>
      </w:pPr>
      <w:r w:rsidRPr="001B53F8">
        <w:rPr>
          <w:rFonts w:asciiTheme="majorHAnsi" w:hAnsiTheme="majorHAnsi" w:cstheme="majorHAnsi"/>
          <w:lang w:val="en-GB"/>
        </w:rPr>
        <w:t>Scientists and</w:t>
      </w:r>
      <w:r w:rsidRPr="008F0D92">
        <w:rPr>
          <w:rFonts w:asciiTheme="majorHAnsi" w:hAnsiTheme="majorHAnsi" w:cstheme="majorHAnsi"/>
          <w:lang w:val="en-GB"/>
        </w:rPr>
        <w:t xml:space="preserve"> policy-makers meet on </w:t>
      </w:r>
      <w:r w:rsidRPr="008F0D92">
        <w:rPr>
          <w:rFonts w:asciiTheme="majorHAnsi" w:hAnsiTheme="majorHAnsi" w:cstheme="majorHAnsi"/>
          <w:b/>
          <w:bCs/>
          <w:lang w:val="en-GB"/>
        </w:rPr>
        <w:t>January 20</w:t>
      </w:r>
      <w:r w:rsidRPr="008F0D92">
        <w:rPr>
          <w:rFonts w:asciiTheme="majorHAnsi" w:hAnsiTheme="majorHAnsi" w:cstheme="majorHAnsi"/>
          <w:b/>
          <w:bCs/>
          <w:vertAlign w:val="superscript"/>
          <w:lang w:val="en-GB"/>
        </w:rPr>
        <w:t xml:space="preserve">th </w:t>
      </w:r>
      <w:r w:rsidRPr="008F0D92">
        <w:rPr>
          <w:rFonts w:asciiTheme="majorHAnsi" w:hAnsiTheme="majorHAnsi" w:cstheme="majorHAnsi"/>
          <w:b/>
          <w:bCs/>
          <w:lang w:val="en-GB"/>
        </w:rPr>
        <w:t>and 21</w:t>
      </w:r>
      <w:r w:rsidRPr="008F0D92">
        <w:rPr>
          <w:rFonts w:asciiTheme="majorHAnsi" w:hAnsiTheme="majorHAnsi" w:cstheme="majorHAnsi"/>
          <w:b/>
          <w:bCs/>
          <w:vertAlign w:val="superscript"/>
          <w:lang w:val="en-GB"/>
        </w:rPr>
        <w:t>st</w:t>
      </w:r>
      <w:r w:rsidRPr="008F0D92">
        <w:rPr>
          <w:rFonts w:asciiTheme="majorHAnsi" w:hAnsiTheme="majorHAnsi" w:cstheme="majorHAnsi"/>
          <w:b/>
          <w:bCs/>
          <w:lang w:val="en-GB"/>
        </w:rPr>
        <w:t xml:space="preserve"> 2022</w:t>
      </w:r>
      <w:r w:rsidRPr="008F0D92">
        <w:rPr>
          <w:rFonts w:asciiTheme="majorHAnsi" w:hAnsiTheme="majorHAnsi" w:cstheme="majorHAnsi"/>
          <w:lang w:val="en-GB"/>
        </w:rPr>
        <w:t xml:space="preserve"> for </w:t>
      </w:r>
      <w:r w:rsidR="00D6490D">
        <w:rPr>
          <w:rFonts w:asciiTheme="majorHAnsi" w:hAnsiTheme="majorHAnsi" w:cstheme="majorHAnsi"/>
          <w:lang w:val="en-GB"/>
        </w:rPr>
        <w:t xml:space="preserve">the final dissemination conference of the </w:t>
      </w:r>
      <w:r w:rsidRPr="0063037C">
        <w:rPr>
          <w:rFonts w:asciiTheme="majorHAnsi" w:hAnsiTheme="majorHAnsi" w:cstheme="majorHAnsi"/>
          <w:b/>
          <w:bCs/>
          <w:lang w:val="en-GB"/>
        </w:rPr>
        <w:t>GAPP Joint Action</w:t>
      </w:r>
      <w:r w:rsidR="00D6490D">
        <w:rPr>
          <w:rFonts w:asciiTheme="majorHAnsi" w:hAnsiTheme="majorHAnsi" w:cstheme="majorHAnsi"/>
          <w:lang w:val="en-GB"/>
        </w:rPr>
        <w:t>. This meeting is</w:t>
      </w:r>
      <w:r w:rsidRPr="008F0D92">
        <w:rPr>
          <w:rFonts w:asciiTheme="majorHAnsi" w:hAnsiTheme="majorHAnsi" w:cstheme="majorHAnsi"/>
          <w:lang w:val="en-GB"/>
        </w:rPr>
        <w:t xml:space="preserve"> organised in hybrid format</w:t>
      </w:r>
      <w:r w:rsidR="00D6490D">
        <w:rPr>
          <w:rFonts w:asciiTheme="majorHAnsi" w:hAnsiTheme="majorHAnsi" w:cstheme="majorHAnsi"/>
          <w:lang w:val="en-GB"/>
        </w:rPr>
        <w:t xml:space="preserve">, </w:t>
      </w:r>
      <w:r w:rsidR="001B53F8" w:rsidRPr="00236948">
        <w:rPr>
          <w:rFonts w:asciiTheme="majorHAnsi" w:hAnsiTheme="majorHAnsi" w:cstheme="majorHAnsi"/>
          <w:lang w:val="en-GB"/>
        </w:rPr>
        <w:t>remotely</w:t>
      </w:r>
      <w:r w:rsidR="00D6490D">
        <w:rPr>
          <w:rFonts w:asciiTheme="majorHAnsi" w:hAnsiTheme="majorHAnsi" w:cstheme="majorHAnsi"/>
          <w:lang w:val="en-GB"/>
        </w:rPr>
        <w:t xml:space="preserve"> as well as</w:t>
      </w:r>
      <w:r w:rsidRPr="008F0D92">
        <w:rPr>
          <w:rFonts w:asciiTheme="majorHAnsi" w:hAnsiTheme="majorHAnsi" w:cstheme="majorHAnsi"/>
          <w:lang w:val="en-GB"/>
        </w:rPr>
        <w:t xml:space="preserve"> in Thessaloniki Greece. </w:t>
      </w:r>
      <w:hyperlink r:id="rId7" w:history="1">
        <w:r w:rsidRPr="00773F15">
          <w:rPr>
            <w:rStyle w:val="Hyperlink"/>
            <w:rFonts w:asciiTheme="majorHAnsi" w:hAnsiTheme="majorHAnsi" w:cstheme="majorHAnsi"/>
            <w:lang w:val="en-GB"/>
          </w:rPr>
          <w:t>GAPP</w:t>
        </w:r>
      </w:hyperlink>
      <w:r w:rsidRPr="008F0D92">
        <w:rPr>
          <w:rFonts w:asciiTheme="majorHAnsi" w:hAnsiTheme="majorHAnsi" w:cstheme="majorHAnsi"/>
          <w:lang w:val="en-GB"/>
        </w:rPr>
        <w:t xml:space="preserve"> (facilitatin</w:t>
      </w:r>
      <w:r w:rsidRPr="008F0D92">
        <w:rPr>
          <w:rFonts w:asciiTheme="majorHAnsi" w:hAnsiTheme="majorHAnsi" w:cstheme="majorHAnsi"/>
          <w:b/>
          <w:bCs/>
          <w:lang w:val="en-GB"/>
        </w:rPr>
        <w:t>G</w:t>
      </w:r>
      <w:r w:rsidRPr="008F0D92">
        <w:rPr>
          <w:rFonts w:asciiTheme="majorHAnsi" w:hAnsiTheme="majorHAnsi" w:cstheme="majorHAnsi"/>
          <w:lang w:val="en-GB"/>
        </w:rPr>
        <w:t xml:space="preserve"> the </w:t>
      </w:r>
      <w:r w:rsidRPr="008F0D92">
        <w:rPr>
          <w:rFonts w:asciiTheme="majorHAnsi" w:hAnsiTheme="majorHAnsi" w:cstheme="majorHAnsi"/>
          <w:b/>
          <w:bCs/>
          <w:lang w:val="en-GB"/>
        </w:rPr>
        <w:t>A</w:t>
      </w:r>
      <w:r w:rsidRPr="008F0D92">
        <w:rPr>
          <w:rFonts w:asciiTheme="majorHAnsi" w:hAnsiTheme="majorHAnsi" w:cstheme="majorHAnsi"/>
          <w:lang w:val="en-GB"/>
        </w:rPr>
        <w:t xml:space="preserve">uthorisation of </w:t>
      </w:r>
      <w:r w:rsidRPr="008F0D92">
        <w:rPr>
          <w:rFonts w:asciiTheme="majorHAnsi" w:hAnsiTheme="majorHAnsi" w:cstheme="majorHAnsi"/>
          <w:b/>
          <w:bCs/>
          <w:lang w:val="en-GB"/>
        </w:rPr>
        <w:t>P</w:t>
      </w:r>
      <w:r w:rsidRPr="008F0D92">
        <w:rPr>
          <w:rFonts w:asciiTheme="majorHAnsi" w:hAnsiTheme="majorHAnsi" w:cstheme="majorHAnsi"/>
          <w:lang w:val="en-GB"/>
        </w:rPr>
        <w:t xml:space="preserve">reparation </w:t>
      </w:r>
      <w:r w:rsidRPr="008F0D92">
        <w:rPr>
          <w:rFonts w:asciiTheme="majorHAnsi" w:hAnsiTheme="majorHAnsi" w:cstheme="majorHAnsi"/>
          <w:b/>
          <w:bCs/>
          <w:lang w:val="en-GB"/>
        </w:rPr>
        <w:t>P</w:t>
      </w:r>
      <w:r w:rsidRPr="008F0D92">
        <w:rPr>
          <w:rFonts w:asciiTheme="majorHAnsi" w:hAnsiTheme="majorHAnsi" w:cstheme="majorHAnsi"/>
          <w:lang w:val="en-GB"/>
        </w:rPr>
        <w:t>rocess) for blood, tissues and cells, is a 45month EU Joint Action co-funded by the European Commission under the EU Health Programme.</w:t>
      </w:r>
    </w:p>
    <w:p w14:paraId="44A7EE9E" w14:textId="6ACD01A6" w:rsidR="003002FF" w:rsidRPr="008F0D92" w:rsidRDefault="003002FF" w:rsidP="003002FF">
      <w:pPr>
        <w:jc w:val="both"/>
        <w:rPr>
          <w:rFonts w:asciiTheme="majorHAnsi" w:hAnsiTheme="majorHAnsi" w:cstheme="majorHAnsi"/>
          <w:lang w:val="en-GB"/>
        </w:rPr>
      </w:pPr>
      <w:r w:rsidRPr="008F0D92">
        <w:rPr>
          <w:rFonts w:asciiTheme="majorHAnsi" w:hAnsiTheme="majorHAnsi" w:cstheme="majorHAnsi"/>
          <w:lang w:val="en-GB"/>
        </w:rPr>
        <w:t xml:space="preserve">The high-level event brings together </w:t>
      </w:r>
      <w:r w:rsidRPr="008F0D92">
        <w:rPr>
          <w:rFonts w:asciiTheme="majorHAnsi" w:hAnsiTheme="majorHAnsi" w:cstheme="majorHAnsi"/>
          <w:b/>
          <w:bCs/>
          <w:lang w:val="en-GB"/>
        </w:rPr>
        <w:t xml:space="preserve">24 </w:t>
      </w:r>
      <w:r w:rsidRPr="008F0D92">
        <w:rPr>
          <w:rFonts w:asciiTheme="majorHAnsi" w:hAnsiTheme="majorHAnsi" w:cstheme="majorHAnsi"/>
          <w:lang w:val="en-GB"/>
        </w:rPr>
        <w:t xml:space="preserve">beneficiaries, from </w:t>
      </w:r>
      <w:r w:rsidRPr="008F0D92">
        <w:rPr>
          <w:rFonts w:asciiTheme="majorHAnsi" w:hAnsiTheme="majorHAnsi" w:cstheme="majorHAnsi"/>
          <w:b/>
          <w:bCs/>
          <w:lang w:val="en-GB"/>
        </w:rPr>
        <w:t>16</w:t>
      </w:r>
      <w:r w:rsidRPr="008F0D92">
        <w:rPr>
          <w:rFonts w:asciiTheme="majorHAnsi" w:hAnsiTheme="majorHAnsi" w:cstheme="majorHAnsi"/>
          <w:lang w:val="en-GB"/>
        </w:rPr>
        <w:t xml:space="preserve"> EU Member States and </w:t>
      </w:r>
      <w:r w:rsidRPr="008F0D92">
        <w:rPr>
          <w:rFonts w:asciiTheme="majorHAnsi" w:hAnsiTheme="majorHAnsi" w:cstheme="majorHAnsi"/>
          <w:b/>
          <w:bCs/>
          <w:lang w:val="en-GB"/>
        </w:rPr>
        <w:t>2</w:t>
      </w:r>
      <w:r w:rsidRPr="008F0D92">
        <w:rPr>
          <w:rFonts w:asciiTheme="majorHAnsi" w:hAnsiTheme="majorHAnsi" w:cstheme="majorHAnsi"/>
          <w:lang w:val="en-GB"/>
        </w:rPr>
        <w:t xml:space="preserve"> non-EU countries, from EU Institutions, </w:t>
      </w:r>
      <w:r>
        <w:rPr>
          <w:rFonts w:asciiTheme="majorHAnsi" w:hAnsiTheme="majorHAnsi" w:cstheme="majorHAnsi"/>
          <w:lang w:val="en-GB"/>
        </w:rPr>
        <w:t xml:space="preserve">BTC </w:t>
      </w:r>
      <w:r w:rsidRPr="008F0D92">
        <w:rPr>
          <w:rFonts w:asciiTheme="majorHAnsi" w:hAnsiTheme="majorHAnsi" w:cstheme="majorHAnsi"/>
          <w:lang w:val="en-GB"/>
        </w:rPr>
        <w:t>Competent Authorities Tissue Establishments, scientific societies and accreditation bodies, healthcare professionals. Experts</w:t>
      </w:r>
      <w:r>
        <w:rPr>
          <w:rFonts w:asciiTheme="majorHAnsi" w:hAnsiTheme="majorHAnsi" w:cstheme="majorHAnsi"/>
          <w:lang w:val="en-GB"/>
        </w:rPr>
        <w:t xml:space="preserve"> in the field</w:t>
      </w:r>
      <w:r w:rsidRPr="008F0D92">
        <w:rPr>
          <w:rFonts w:asciiTheme="majorHAnsi" w:hAnsiTheme="majorHAnsi" w:cstheme="majorHAnsi"/>
          <w:lang w:val="en-GB"/>
        </w:rPr>
        <w:t xml:space="preserve"> and representatives from patient and donor organisations, have been invited to take part to the event as relevant stakeholder</w:t>
      </w:r>
      <w:r w:rsidR="00012908">
        <w:rPr>
          <w:rFonts w:asciiTheme="majorHAnsi" w:hAnsiTheme="majorHAnsi" w:cstheme="majorHAnsi"/>
          <w:lang w:val="en-GB"/>
        </w:rPr>
        <w:t>s</w:t>
      </w:r>
      <w:r w:rsidRPr="008F0D92">
        <w:rPr>
          <w:rFonts w:asciiTheme="majorHAnsi" w:hAnsiTheme="majorHAnsi" w:cstheme="majorHAnsi"/>
          <w:lang w:val="en-GB"/>
        </w:rPr>
        <w:t xml:space="preserve">. </w:t>
      </w:r>
    </w:p>
    <w:p w14:paraId="797A03AE" w14:textId="07D00B33" w:rsidR="003002FF" w:rsidRPr="001B53F8" w:rsidRDefault="003002FF" w:rsidP="003002FF">
      <w:pPr>
        <w:jc w:val="both"/>
        <w:rPr>
          <w:rFonts w:asciiTheme="majorHAnsi" w:hAnsiTheme="majorHAnsi" w:cstheme="majorHAnsi"/>
          <w:lang w:val="en-GB"/>
        </w:rPr>
      </w:pPr>
      <w:r w:rsidRPr="008F0D92">
        <w:rPr>
          <w:rFonts w:asciiTheme="majorHAnsi" w:hAnsiTheme="majorHAnsi" w:cstheme="majorHAnsi"/>
          <w:b/>
          <w:bCs/>
          <w:lang w:val="en-GB"/>
        </w:rPr>
        <w:t>Day one</w:t>
      </w:r>
      <w:r w:rsidRPr="008F0D92">
        <w:rPr>
          <w:rFonts w:asciiTheme="majorHAnsi" w:hAnsiTheme="majorHAnsi" w:cstheme="majorHAnsi"/>
          <w:lang w:val="en-GB"/>
        </w:rPr>
        <w:t xml:space="preserve"> of the event provides an overview of the work carried out at the EU level. </w:t>
      </w:r>
      <w:r w:rsidRPr="008F0D92">
        <w:rPr>
          <w:rFonts w:asciiTheme="majorHAnsi" w:hAnsiTheme="majorHAnsi" w:cstheme="majorHAnsi"/>
          <w:b/>
          <w:bCs/>
          <w:lang w:val="en-GB"/>
        </w:rPr>
        <w:t>Day two</w:t>
      </w:r>
      <w:r w:rsidR="00D6490D">
        <w:rPr>
          <w:rFonts w:asciiTheme="majorHAnsi" w:hAnsiTheme="majorHAnsi" w:cstheme="majorHAnsi"/>
          <w:lang w:val="en-GB"/>
        </w:rPr>
        <w:t xml:space="preserve"> looks into </w:t>
      </w:r>
      <w:r w:rsidRPr="008F0D92">
        <w:rPr>
          <w:rFonts w:asciiTheme="majorHAnsi" w:hAnsiTheme="majorHAnsi" w:cstheme="majorHAnsi"/>
          <w:lang w:val="en-GB"/>
        </w:rPr>
        <w:t>bridg</w:t>
      </w:r>
      <w:r w:rsidR="00D6490D">
        <w:rPr>
          <w:rFonts w:asciiTheme="majorHAnsi" w:hAnsiTheme="majorHAnsi" w:cstheme="majorHAnsi"/>
          <w:lang w:val="en-GB"/>
        </w:rPr>
        <w:t xml:space="preserve">ing </w:t>
      </w:r>
      <w:r w:rsidRPr="008F0D92">
        <w:rPr>
          <w:rFonts w:asciiTheme="majorHAnsi" w:hAnsiTheme="majorHAnsi" w:cstheme="majorHAnsi"/>
          <w:lang w:val="en-GB"/>
        </w:rPr>
        <w:t>the gap between science and effective policies</w:t>
      </w:r>
      <w:r w:rsidR="00D6490D">
        <w:rPr>
          <w:rFonts w:asciiTheme="majorHAnsi" w:hAnsiTheme="majorHAnsi" w:cstheme="majorHAnsi"/>
          <w:lang w:val="en-GB"/>
        </w:rPr>
        <w:t>. On day two, participants also</w:t>
      </w:r>
      <w:r w:rsidRPr="008F0D92">
        <w:rPr>
          <w:rFonts w:asciiTheme="majorHAnsi" w:hAnsiTheme="majorHAnsi" w:cstheme="majorHAnsi"/>
          <w:lang w:val="en-GB"/>
        </w:rPr>
        <w:t xml:space="preserve"> ta</w:t>
      </w:r>
      <w:r w:rsidR="0063037C">
        <w:rPr>
          <w:rFonts w:asciiTheme="majorHAnsi" w:hAnsiTheme="majorHAnsi" w:cstheme="majorHAnsi"/>
          <w:lang w:val="en-GB"/>
        </w:rPr>
        <w:t>ke</w:t>
      </w:r>
      <w:r w:rsidRPr="008F0D92">
        <w:rPr>
          <w:rFonts w:asciiTheme="majorHAnsi" w:hAnsiTheme="majorHAnsi" w:cstheme="majorHAnsi"/>
          <w:lang w:val="en-GB"/>
        </w:rPr>
        <w:t xml:space="preserve"> a closer look at </w:t>
      </w:r>
      <w:r w:rsidRPr="001B53F8">
        <w:rPr>
          <w:rFonts w:asciiTheme="majorHAnsi" w:hAnsiTheme="majorHAnsi" w:cstheme="majorHAnsi"/>
          <w:lang w:val="en-GB"/>
        </w:rPr>
        <w:t>governance, the current state-of-play and the next steps</w:t>
      </w:r>
      <w:r w:rsidR="00D6490D" w:rsidRPr="001B53F8">
        <w:rPr>
          <w:rFonts w:asciiTheme="majorHAnsi" w:hAnsiTheme="majorHAnsi" w:cstheme="majorHAnsi"/>
          <w:lang w:val="en-GB"/>
        </w:rPr>
        <w:t xml:space="preserve">. The </w:t>
      </w:r>
      <w:r w:rsidR="00D6490D" w:rsidRPr="001B53F8">
        <w:rPr>
          <w:rFonts w:asciiTheme="majorHAnsi" w:hAnsiTheme="majorHAnsi" w:cstheme="majorHAnsi"/>
          <w:b/>
          <w:bCs/>
          <w:lang w:val="en-GB"/>
        </w:rPr>
        <w:t>final objective</w:t>
      </w:r>
      <w:r w:rsidR="00D6490D" w:rsidRPr="001B53F8">
        <w:rPr>
          <w:rFonts w:asciiTheme="majorHAnsi" w:hAnsiTheme="majorHAnsi" w:cstheme="majorHAnsi"/>
          <w:lang w:val="en-GB"/>
        </w:rPr>
        <w:t xml:space="preserve"> is </w:t>
      </w:r>
      <w:r w:rsidRPr="001B53F8">
        <w:rPr>
          <w:rFonts w:asciiTheme="majorHAnsi" w:hAnsiTheme="majorHAnsi" w:cstheme="majorHAnsi"/>
          <w:lang w:val="en-GB"/>
        </w:rPr>
        <w:t xml:space="preserve">the implementation of policy on BTC to ensure </w:t>
      </w:r>
      <w:r w:rsidR="00D6490D" w:rsidRPr="001B53F8">
        <w:rPr>
          <w:rFonts w:asciiTheme="majorHAnsi" w:hAnsiTheme="majorHAnsi" w:cstheme="majorHAnsi"/>
          <w:b/>
          <w:bCs/>
          <w:lang w:val="en-GB"/>
        </w:rPr>
        <w:t xml:space="preserve">EU-wide safety for </w:t>
      </w:r>
      <w:r w:rsidRPr="001B53F8">
        <w:rPr>
          <w:rFonts w:asciiTheme="majorHAnsi" w:hAnsiTheme="majorHAnsi" w:cstheme="majorHAnsi"/>
          <w:b/>
          <w:bCs/>
          <w:lang w:val="en-GB"/>
        </w:rPr>
        <w:t>patient</w:t>
      </w:r>
      <w:r w:rsidR="00D6490D" w:rsidRPr="001B53F8">
        <w:rPr>
          <w:rFonts w:asciiTheme="majorHAnsi" w:hAnsiTheme="majorHAnsi" w:cstheme="majorHAnsi"/>
          <w:b/>
          <w:bCs/>
          <w:lang w:val="en-GB"/>
        </w:rPr>
        <w:t>s</w:t>
      </w:r>
      <w:r w:rsidRPr="001B53F8">
        <w:rPr>
          <w:rFonts w:asciiTheme="majorHAnsi" w:hAnsiTheme="majorHAnsi" w:cstheme="majorHAnsi"/>
          <w:b/>
          <w:bCs/>
          <w:lang w:val="en-GB"/>
        </w:rPr>
        <w:t xml:space="preserve"> and donor</w:t>
      </w:r>
      <w:r w:rsidR="00D6490D" w:rsidRPr="001B53F8">
        <w:rPr>
          <w:rFonts w:asciiTheme="majorHAnsi" w:hAnsiTheme="majorHAnsi" w:cstheme="majorHAnsi"/>
          <w:b/>
          <w:bCs/>
          <w:lang w:val="en-GB"/>
        </w:rPr>
        <w:t>s</w:t>
      </w:r>
      <w:r w:rsidRPr="001B53F8">
        <w:rPr>
          <w:rFonts w:asciiTheme="majorHAnsi" w:hAnsiTheme="majorHAnsi" w:cstheme="majorHAnsi"/>
          <w:lang w:val="en-GB"/>
        </w:rPr>
        <w:t>, a</w:t>
      </w:r>
      <w:r w:rsidR="00D6490D" w:rsidRPr="001B53F8">
        <w:rPr>
          <w:rFonts w:asciiTheme="majorHAnsi" w:hAnsiTheme="majorHAnsi" w:cstheme="majorHAnsi"/>
          <w:lang w:val="en-GB"/>
        </w:rPr>
        <w:t xml:space="preserve">s well as a </w:t>
      </w:r>
      <w:r w:rsidR="00D6490D" w:rsidRPr="001B53F8">
        <w:rPr>
          <w:rFonts w:asciiTheme="majorHAnsi" w:hAnsiTheme="majorHAnsi" w:cstheme="majorHAnsi"/>
          <w:b/>
          <w:bCs/>
          <w:lang w:val="en-GB"/>
        </w:rPr>
        <w:t xml:space="preserve">high </w:t>
      </w:r>
      <w:r w:rsidRPr="001B53F8">
        <w:rPr>
          <w:rFonts w:asciiTheme="majorHAnsi" w:hAnsiTheme="majorHAnsi" w:cstheme="majorHAnsi"/>
          <w:b/>
          <w:bCs/>
          <w:lang w:val="en-GB"/>
        </w:rPr>
        <w:t xml:space="preserve">quality of </w:t>
      </w:r>
      <w:r w:rsidR="00D6490D" w:rsidRPr="001B53F8">
        <w:rPr>
          <w:rFonts w:asciiTheme="majorHAnsi" w:hAnsiTheme="majorHAnsi" w:cstheme="majorHAnsi"/>
          <w:b/>
          <w:bCs/>
          <w:lang w:val="en-GB"/>
        </w:rPr>
        <w:t xml:space="preserve">BTC </w:t>
      </w:r>
      <w:r w:rsidRPr="001B53F8">
        <w:rPr>
          <w:rFonts w:asciiTheme="majorHAnsi" w:hAnsiTheme="majorHAnsi" w:cstheme="majorHAnsi"/>
          <w:b/>
          <w:bCs/>
          <w:lang w:val="en-GB"/>
        </w:rPr>
        <w:t>treatments</w:t>
      </w:r>
      <w:r w:rsidRPr="001B53F8">
        <w:rPr>
          <w:rFonts w:asciiTheme="majorHAnsi" w:hAnsiTheme="majorHAnsi" w:cstheme="majorHAnsi"/>
          <w:lang w:val="en-GB"/>
        </w:rPr>
        <w:t>.</w:t>
      </w:r>
    </w:p>
    <w:p w14:paraId="58EC13B5" w14:textId="22141208" w:rsidR="003002FF" w:rsidRPr="008532C5" w:rsidRDefault="008532C5" w:rsidP="003002FF">
      <w:pPr>
        <w:jc w:val="both"/>
        <w:rPr>
          <w:rFonts w:asciiTheme="majorHAnsi" w:hAnsiTheme="majorHAnsi" w:cstheme="majorHAnsi"/>
        </w:rPr>
      </w:pPr>
      <w:r w:rsidRPr="001B53F8">
        <w:rPr>
          <w:rFonts w:asciiTheme="majorHAnsi" w:hAnsiTheme="majorHAnsi" w:cstheme="majorHAnsi"/>
          <w:b/>
          <w:bCs/>
          <w:i/>
          <w:iCs/>
        </w:rPr>
        <w:t>Stefaan</w:t>
      </w:r>
      <w:r w:rsidR="001B53F8">
        <w:rPr>
          <w:rFonts w:asciiTheme="majorHAnsi" w:hAnsiTheme="majorHAnsi" w:cstheme="majorHAnsi"/>
          <w:b/>
          <w:bCs/>
          <w:i/>
          <w:iCs/>
        </w:rPr>
        <w:t xml:space="preserve"> v</w:t>
      </w:r>
      <w:r w:rsidRPr="001B53F8">
        <w:rPr>
          <w:rFonts w:asciiTheme="majorHAnsi" w:hAnsiTheme="majorHAnsi" w:cstheme="majorHAnsi"/>
          <w:b/>
          <w:bCs/>
          <w:i/>
          <w:iCs/>
        </w:rPr>
        <w:t>an der Spiegel, Head of Sector, Substances of Human Origin, European Commission - DG SANTE</w:t>
      </w:r>
      <w:r w:rsidRPr="008532C5">
        <w:rPr>
          <w:rFonts w:asciiTheme="majorHAnsi" w:hAnsiTheme="majorHAnsi" w:cstheme="majorHAnsi"/>
        </w:rPr>
        <w:t xml:space="preserve"> </w:t>
      </w:r>
      <w:r w:rsidR="00A37E49" w:rsidRPr="00A37E49">
        <w:rPr>
          <w:rFonts w:asciiTheme="majorHAnsi" w:hAnsiTheme="majorHAnsi" w:cstheme="majorHAnsi"/>
          <w:lang w:val="en-GB"/>
        </w:rPr>
        <w:t>said:</w:t>
      </w:r>
      <w:r w:rsidR="003002FF" w:rsidRPr="008F0D92">
        <w:rPr>
          <w:rFonts w:asciiTheme="majorHAnsi" w:hAnsiTheme="majorHAnsi" w:cstheme="majorHAnsi"/>
          <w:lang w:val="en-GB"/>
        </w:rPr>
        <w:t xml:space="preserve"> “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The GAPP Joint Action has provided a stepping stone </w:t>
      </w:r>
      <w:r w:rsidR="00D6490D">
        <w:rPr>
          <w:rFonts w:asciiTheme="majorHAnsi" w:hAnsiTheme="majorHAnsi" w:cstheme="majorHAnsi"/>
          <w:i/>
          <w:lang w:val="en-GB"/>
        </w:rPr>
        <w:t>for</w:t>
      </w:r>
      <w:r w:rsidR="00D6490D" w:rsidRPr="008F0D92">
        <w:rPr>
          <w:rFonts w:asciiTheme="majorHAnsi" w:hAnsiTheme="majorHAnsi" w:cstheme="majorHAnsi"/>
          <w:i/>
          <w:lang w:val="en-GB"/>
        </w:rPr>
        <w:t xml:space="preserve"> 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the upcoming </w:t>
      </w:r>
      <w:hyperlink r:id="rId8" w:history="1">
        <w:r w:rsidR="003002FF" w:rsidRPr="00A15B65">
          <w:rPr>
            <w:rStyle w:val="Hyperlink"/>
            <w:rFonts w:asciiTheme="majorHAnsi" w:hAnsiTheme="majorHAnsi" w:cstheme="majorHAnsi"/>
            <w:i/>
            <w:lang w:val="en-GB"/>
          </w:rPr>
          <w:t>revision</w:t>
        </w:r>
      </w:hyperlink>
      <w:r w:rsidR="003002FF" w:rsidRPr="008F0D92">
        <w:rPr>
          <w:rFonts w:asciiTheme="majorHAnsi" w:hAnsiTheme="majorHAnsi" w:cstheme="majorHAnsi"/>
          <w:i/>
          <w:lang w:val="en-GB"/>
        </w:rPr>
        <w:t xml:space="preserve"> of the legislation on Blood, Tissues and Cells</w:t>
      </w:r>
      <w:r w:rsidR="00D6490D">
        <w:rPr>
          <w:rFonts w:asciiTheme="majorHAnsi" w:hAnsiTheme="majorHAnsi" w:cstheme="majorHAnsi"/>
          <w:i/>
          <w:lang w:val="en-GB"/>
        </w:rPr>
        <w:t>, which the European Commission plans to adopt in the coming months</w:t>
      </w:r>
      <w:r w:rsidR="003002FF" w:rsidRPr="008F0D92">
        <w:rPr>
          <w:rFonts w:asciiTheme="majorHAnsi" w:hAnsiTheme="majorHAnsi" w:cstheme="majorHAnsi"/>
          <w:i/>
          <w:lang w:val="en-GB"/>
        </w:rPr>
        <w:t>. This work brings greater assurance</w:t>
      </w:r>
      <w:r w:rsidR="00D6490D">
        <w:rPr>
          <w:rFonts w:asciiTheme="majorHAnsi" w:hAnsiTheme="majorHAnsi" w:cstheme="majorHAnsi"/>
          <w:i/>
          <w:lang w:val="en-GB"/>
        </w:rPr>
        <w:t xml:space="preserve"> when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 receiving safe and effective treatments</w:t>
      </w:r>
      <w:r w:rsidR="00D6490D">
        <w:rPr>
          <w:rFonts w:asciiTheme="majorHAnsi" w:hAnsiTheme="majorHAnsi" w:cstheme="majorHAnsi"/>
          <w:i/>
          <w:lang w:val="en-GB"/>
        </w:rPr>
        <w:t xml:space="preserve">. 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The result is </w:t>
      </w:r>
      <w:r w:rsidR="00D6490D">
        <w:rPr>
          <w:rFonts w:asciiTheme="majorHAnsi" w:hAnsiTheme="majorHAnsi" w:cstheme="majorHAnsi"/>
          <w:i/>
          <w:lang w:val="en-GB"/>
        </w:rPr>
        <w:t xml:space="preserve">more </w:t>
      </w:r>
      <w:r w:rsidR="003002FF" w:rsidRPr="008F0D92">
        <w:rPr>
          <w:rFonts w:asciiTheme="majorHAnsi" w:hAnsiTheme="majorHAnsi" w:cstheme="majorHAnsi"/>
          <w:i/>
          <w:lang w:val="en-GB"/>
        </w:rPr>
        <w:t>harmonized healthcare</w:t>
      </w:r>
      <w:r w:rsidR="00D6490D">
        <w:rPr>
          <w:rFonts w:asciiTheme="majorHAnsi" w:hAnsiTheme="majorHAnsi" w:cstheme="majorHAnsi"/>
          <w:i/>
          <w:lang w:val="en-GB"/>
        </w:rPr>
        <w:t xml:space="preserve"> for patients and donors across the EU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, with standardized procedures and processing protocols, </w:t>
      </w:r>
      <w:r w:rsidR="00D6490D">
        <w:rPr>
          <w:rFonts w:asciiTheme="majorHAnsi" w:hAnsiTheme="majorHAnsi" w:cstheme="majorHAnsi"/>
          <w:i/>
          <w:lang w:val="en-GB"/>
        </w:rPr>
        <w:t xml:space="preserve">that will be </w:t>
      </w:r>
      <w:r w:rsidR="003002FF" w:rsidRPr="008F0D92">
        <w:rPr>
          <w:rFonts w:asciiTheme="majorHAnsi" w:hAnsiTheme="majorHAnsi" w:cstheme="majorHAnsi"/>
          <w:i/>
          <w:lang w:val="en-GB"/>
        </w:rPr>
        <w:t>better align</w:t>
      </w:r>
      <w:r w:rsidR="00D6490D">
        <w:rPr>
          <w:rFonts w:asciiTheme="majorHAnsi" w:hAnsiTheme="majorHAnsi" w:cstheme="majorHAnsi"/>
          <w:i/>
          <w:lang w:val="en-GB"/>
        </w:rPr>
        <w:t>ed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 with the rapid, high-level and dynamic scientific and technological development of the field.</w:t>
      </w:r>
    </w:p>
    <w:p w14:paraId="73BCFD5D" w14:textId="088DF870" w:rsidR="003002FF" w:rsidRPr="008F0D92" w:rsidRDefault="003002FF" w:rsidP="003002FF">
      <w:pPr>
        <w:jc w:val="both"/>
        <w:rPr>
          <w:rFonts w:asciiTheme="majorHAnsi" w:hAnsiTheme="majorHAnsi" w:cstheme="majorHAnsi"/>
          <w:lang w:val="en-GB"/>
        </w:rPr>
      </w:pPr>
      <w:r w:rsidRPr="008F0D92">
        <w:rPr>
          <w:rFonts w:asciiTheme="majorHAnsi" w:hAnsiTheme="majorHAnsi" w:cstheme="majorHAnsi"/>
          <w:i/>
          <w:lang w:val="en-GB"/>
        </w:rPr>
        <w:t xml:space="preserve">The </w:t>
      </w:r>
      <w:r w:rsidRPr="008532C5">
        <w:rPr>
          <w:rFonts w:asciiTheme="majorHAnsi" w:hAnsiTheme="majorHAnsi" w:cstheme="majorHAnsi"/>
          <w:b/>
          <w:bCs/>
          <w:i/>
          <w:lang w:val="en-GB"/>
        </w:rPr>
        <w:t xml:space="preserve">new </w:t>
      </w:r>
      <w:r w:rsidR="0079392A" w:rsidRPr="008532C5">
        <w:rPr>
          <w:rFonts w:asciiTheme="majorHAnsi" w:hAnsiTheme="majorHAnsi" w:cstheme="majorHAnsi"/>
          <w:b/>
          <w:bCs/>
          <w:i/>
          <w:lang w:val="en-GB"/>
        </w:rPr>
        <w:t xml:space="preserve">EU </w:t>
      </w:r>
      <w:r w:rsidR="00D6490D" w:rsidRPr="008532C5">
        <w:rPr>
          <w:rFonts w:asciiTheme="majorHAnsi" w:hAnsiTheme="majorHAnsi" w:cstheme="majorHAnsi"/>
          <w:b/>
          <w:bCs/>
          <w:i/>
          <w:lang w:val="en-GB"/>
        </w:rPr>
        <w:t>framework</w:t>
      </w:r>
      <w:r w:rsidRPr="008F0D92">
        <w:rPr>
          <w:rFonts w:asciiTheme="majorHAnsi" w:hAnsiTheme="majorHAnsi" w:cstheme="majorHAnsi"/>
          <w:i/>
          <w:lang w:val="en-GB"/>
        </w:rPr>
        <w:t xml:space="preserve"> </w:t>
      </w:r>
      <w:r w:rsidR="00D6490D">
        <w:rPr>
          <w:rFonts w:asciiTheme="majorHAnsi" w:hAnsiTheme="majorHAnsi" w:cstheme="majorHAnsi"/>
          <w:i/>
          <w:lang w:val="en-GB"/>
        </w:rPr>
        <w:t xml:space="preserve">will </w:t>
      </w:r>
      <w:r w:rsidRPr="008F0D92">
        <w:rPr>
          <w:rFonts w:asciiTheme="majorHAnsi" w:hAnsiTheme="majorHAnsi" w:cstheme="majorHAnsi"/>
          <w:i/>
          <w:lang w:val="en-GB"/>
        </w:rPr>
        <w:t xml:space="preserve">bring </w:t>
      </w:r>
      <w:r w:rsidR="0079392A">
        <w:rPr>
          <w:rFonts w:asciiTheme="majorHAnsi" w:hAnsiTheme="majorHAnsi" w:cstheme="majorHAnsi"/>
          <w:i/>
          <w:lang w:val="en-GB"/>
        </w:rPr>
        <w:t xml:space="preserve">better and more up-to-date </w:t>
      </w:r>
      <w:r w:rsidR="0079392A" w:rsidRPr="0063037C">
        <w:rPr>
          <w:rFonts w:asciiTheme="majorHAnsi" w:hAnsiTheme="majorHAnsi" w:cstheme="majorHAnsi"/>
          <w:b/>
          <w:i/>
          <w:lang w:val="en-GB"/>
        </w:rPr>
        <w:t>safety and quality</w:t>
      </w:r>
      <w:r w:rsidR="0079392A">
        <w:rPr>
          <w:rFonts w:asciiTheme="majorHAnsi" w:hAnsiTheme="majorHAnsi" w:cstheme="majorHAnsi"/>
          <w:i/>
          <w:lang w:val="en-GB"/>
        </w:rPr>
        <w:t xml:space="preserve"> standards, facilitate  </w:t>
      </w:r>
      <w:r w:rsidRPr="008F0D92">
        <w:rPr>
          <w:rFonts w:asciiTheme="majorHAnsi" w:hAnsiTheme="majorHAnsi" w:cstheme="majorHAnsi"/>
          <w:i/>
          <w:lang w:val="en-GB"/>
        </w:rPr>
        <w:t xml:space="preserve"> </w:t>
      </w:r>
      <w:r w:rsidRPr="008F0D92">
        <w:rPr>
          <w:rFonts w:asciiTheme="majorHAnsi" w:hAnsiTheme="majorHAnsi" w:cstheme="majorHAnsi"/>
          <w:b/>
          <w:bCs/>
          <w:i/>
          <w:lang w:val="en-GB"/>
        </w:rPr>
        <w:t xml:space="preserve">innovation </w:t>
      </w:r>
      <w:r w:rsidRPr="0063037C">
        <w:rPr>
          <w:rFonts w:asciiTheme="majorHAnsi" w:hAnsiTheme="majorHAnsi" w:cstheme="majorHAnsi"/>
          <w:bCs/>
          <w:i/>
          <w:lang w:val="en-GB"/>
        </w:rPr>
        <w:t xml:space="preserve">and </w:t>
      </w:r>
      <w:r w:rsidR="0079392A" w:rsidRPr="0063037C">
        <w:rPr>
          <w:rFonts w:asciiTheme="majorHAnsi" w:hAnsiTheme="majorHAnsi" w:cstheme="majorHAnsi"/>
          <w:bCs/>
          <w:i/>
          <w:lang w:val="en-GB"/>
        </w:rPr>
        <w:t>allow for better</w:t>
      </w:r>
      <w:r w:rsidR="0079392A">
        <w:rPr>
          <w:rFonts w:asciiTheme="majorHAnsi" w:hAnsiTheme="majorHAnsi" w:cstheme="majorHAnsi"/>
          <w:b/>
          <w:bCs/>
          <w:i/>
          <w:lang w:val="en-GB"/>
        </w:rPr>
        <w:t xml:space="preserve"> access to BTC therapies. </w:t>
      </w:r>
      <w:r w:rsidR="0079392A" w:rsidRPr="0063037C">
        <w:rPr>
          <w:rFonts w:asciiTheme="majorHAnsi" w:hAnsiTheme="majorHAnsi" w:cstheme="majorHAnsi"/>
          <w:bCs/>
          <w:i/>
          <w:lang w:val="en-GB"/>
        </w:rPr>
        <w:t xml:space="preserve">The new common framework will </w:t>
      </w:r>
      <w:r w:rsidRPr="00F93A42">
        <w:rPr>
          <w:rFonts w:asciiTheme="majorHAnsi" w:hAnsiTheme="majorHAnsi" w:cstheme="majorHAnsi"/>
          <w:i/>
          <w:lang w:val="en-GB"/>
        </w:rPr>
        <w:t>allow</w:t>
      </w:r>
      <w:r w:rsidR="0079392A" w:rsidRPr="0079392A">
        <w:rPr>
          <w:rFonts w:asciiTheme="majorHAnsi" w:hAnsiTheme="majorHAnsi" w:cstheme="majorHAnsi"/>
          <w:i/>
          <w:lang w:val="en-GB"/>
        </w:rPr>
        <w:t xml:space="preserve"> for more</w:t>
      </w:r>
      <w:r w:rsidR="008532C5">
        <w:rPr>
          <w:rFonts w:asciiTheme="majorHAnsi" w:hAnsiTheme="majorHAnsi" w:cstheme="majorHAnsi"/>
          <w:i/>
          <w:lang w:val="en-GB"/>
        </w:rPr>
        <w:t xml:space="preserve"> </w:t>
      </w:r>
      <w:r w:rsidRPr="0079392A">
        <w:rPr>
          <w:rFonts w:asciiTheme="majorHAnsi" w:hAnsiTheme="majorHAnsi" w:cstheme="majorHAnsi"/>
          <w:i/>
          <w:lang w:val="en-GB"/>
        </w:rPr>
        <w:t xml:space="preserve">smooth </w:t>
      </w:r>
      <w:r w:rsidRPr="006120A9">
        <w:rPr>
          <w:rFonts w:asciiTheme="majorHAnsi" w:hAnsiTheme="majorHAnsi" w:cstheme="majorHAnsi"/>
          <w:b/>
          <w:bCs/>
          <w:i/>
          <w:lang w:val="en-GB"/>
        </w:rPr>
        <w:t>cross-border exchange</w:t>
      </w:r>
      <w:r w:rsidR="0079392A" w:rsidRPr="006120A9">
        <w:rPr>
          <w:rFonts w:asciiTheme="majorHAnsi" w:hAnsiTheme="majorHAnsi" w:cstheme="majorHAnsi"/>
          <w:b/>
          <w:bCs/>
          <w:i/>
          <w:lang w:val="en-GB"/>
        </w:rPr>
        <w:t>s</w:t>
      </w:r>
      <w:r w:rsidRPr="006120A9">
        <w:rPr>
          <w:rFonts w:asciiTheme="majorHAnsi" w:hAnsiTheme="majorHAnsi" w:cstheme="majorHAnsi"/>
          <w:b/>
          <w:bCs/>
          <w:i/>
          <w:lang w:val="en-GB"/>
        </w:rPr>
        <w:t xml:space="preserve"> of BTC</w:t>
      </w:r>
      <w:r w:rsidR="008532C5">
        <w:rPr>
          <w:rFonts w:asciiTheme="majorHAnsi" w:hAnsiTheme="majorHAnsi" w:cstheme="majorHAnsi"/>
          <w:i/>
          <w:lang w:val="en-GB"/>
        </w:rPr>
        <w:t>,</w:t>
      </w:r>
      <w:r w:rsidRPr="0079392A">
        <w:rPr>
          <w:rFonts w:asciiTheme="majorHAnsi" w:hAnsiTheme="majorHAnsi" w:cstheme="majorHAnsi"/>
          <w:i/>
          <w:lang w:val="en-GB"/>
        </w:rPr>
        <w:t xml:space="preserve"> and the availability of </w:t>
      </w:r>
      <w:r w:rsidRPr="006120A9">
        <w:rPr>
          <w:rFonts w:asciiTheme="majorHAnsi" w:hAnsiTheme="majorHAnsi" w:cstheme="majorHAnsi"/>
          <w:b/>
          <w:bCs/>
          <w:i/>
          <w:lang w:val="en-GB"/>
        </w:rPr>
        <w:t>services and novel products</w:t>
      </w:r>
      <w:r w:rsidRPr="0079392A">
        <w:rPr>
          <w:rFonts w:asciiTheme="majorHAnsi" w:hAnsiTheme="majorHAnsi" w:cstheme="majorHAnsi"/>
          <w:i/>
          <w:lang w:val="en-GB"/>
        </w:rPr>
        <w:t xml:space="preserve"> </w:t>
      </w:r>
      <w:r w:rsidRPr="006120A9">
        <w:rPr>
          <w:rFonts w:asciiTheme="majorHAnsi" w:hAnsiTheme="majorHAnsi" w:cstheme="majorHAnsi"/>
          <w:b/>
          <w:bCs/>
          <w:i/>
          <w:lang w:val="en-GB"/>
        </w:rPr>
        <w:t>or treatments</w:t>
      </w:r>
      <w:r w:rsidRPr="008F0D92">
        <w:rPr>
          <w:rFonts w:asciiTheme="majorHAnsi" w:hAnsiTheme="majorHAnsi" w:cstheme="majorHAnsi"/>
          <w:i/>
          <w:lang w:val="en-GB"/>
        </w:rPr>
        <w:t xml:space="preserve"> to EU citizen</w:t>
      </w:r>
      <w:r w:rsidR="008532C5">
        <w:rPr>
          <w:rFonts w:asciiTheme="majorHAnsi" w:hAnsiTheme="majorHAnsi" w:cstheme="majorHAnsi"/>
          <w:i/>
          <w:lang w:val="en-GB"/>
        </w:rPr>
        <w:t>s</w:t>
      </w:r>
      <w:r w:rsidR="00CC3CDA">
        <w:rPr>
          <w:rFonts w:asciiTheme="majorHAnsi" w:hAnsiTheme="majorHAnsi" w:cstheme="majorHAnsi"/>
          <w:i/>
          <w:lang w:val="en-GB"/>
        </w:rPr>
        <w:t xml:space="preserve">. </w:t>
      </w:r>
      <w:r w:rsidR="00CC3CDA" w:rsidRPr="001B53F8">
        <w:rPr>
          <w:rFonts w:asciiTheme="majorHAnsi" w:hAnsiTheme="majorHAnsi" w:cstheme="majorHAnsi"/>
          <w:i/>
          <w:lang w:val="en-GB"/>
        </w:rPr>
        <w:t>The initiative extends</w:t>
      </w:r>
      <w:r w:rsidRPr="001B53F8">
        <w:rPr>
          <w:rFonts w:asciiTheme="majorHAnsi" w:hAnsiTheme="majorHAnsi" w:cstheme="majorHAnsi"/>
          <w:i/>
          <w:lang w:val="en-GB"/>
        </w:rPr>
        <w:t xml:space="preserve"> also</w:t>
      </w:r>
      <w:r w:rsidRPr="008F0D92">
        <w:rPr>
          <w:rFonts w:asciiTheme="majorHAnsi" w:hAnsiTheme="majorHAnsi" w:cstheme="majorHAnsi"/>
          <w:i/>
          <w:lang w:val="en-GB"/>
        </w:rPr>
        <w:t xml:space="preserve"> </w:t>
      </w:r>
      <w:r w:rsidR="001B53F8">
        <w:rPr>
          <w:rFonts w:asciiTheme="majorHAnsi" w:hAnsiTheme="majorHAnsi" w:cstheme="majorHAnsi"/>
          <w:i/>
          <w:lang w:val="en-GB"/>
        </w:rPr>
        <w:t xml:space="preserve">strengthens </w:t>
      </w:r>
      <w:r w:rsidRPr="008F0D92">
        <w:rPr>
          <w:rFonts w:asciiTheme="majorHAnsi" w:hAnsiTheme="majorHAnsi" w:cstheme="majorHAnsi"/>
          <w:b/>
          <w:bCs/>
          <w:i/>
          <w:lang w:val="en-GB"/>
        </w:rPr>
        <w:t xml:space="preserve">donor protection </w:t>
      </w:r>
      <w:r w:rsidRPr="008532C5">
        <w:rPr>
          <w:rFonts w:asciiTheme="majorHAnsi" w:hAnsiTheme="majorHAnsi" w:cstheme="majorHAnsi"/>
          <w:i/>
          <w:lang w:val="en-GB"/>
        </w:rPr>
        <w:t>and</w:t>
      </w:r>
      <w:r w:rsidRPr="008F0D92">
        <w:rPr>
          <w:rFonts w:asciiTheme="majorHAnsi" w:hAnsiTheme="majorHAnsi" w:cstheme="majorHAnsi"/>
          <w:b/>
          <w:bCs/>
          <w:i/>
          <w:lang w:val="en-GB"/>
        </w:rPr>
        <w:t xml:space="preserve"> donor care</w:t>
      </w:r>
      <w:r w:rsidR="008532C5">
        <w:rPr>
          <w:rFonts w:asciiTheme="majorHAnsi" w:hAnsiTheme="majorHAnsi" w:cstheme="majorHAnsi"/>
          <w:b/>
          <w:bCs/>
          <w:i/>
          <w:lang w:val="en-GB"/>
        </w:rPr>
        <w:t>.</w:t>
      </w:r>
      <w:r w:rsidRPr="008F0D92">
        <w:rPr>
          <w:rFonts w:asciiTheme="majorHAnsi" w:hAnsiTheme="majorHAnsi" w:cstheme="majorHAnsi"/>
          <w:lang w:val="en-GB"/>
        </w:rPr>
        <w:t>”</w:t>
      </w:r>
    </w:p>
    <w:p w14:paraId="0444F0CE" w14:textId="6DDB9B17" w:rsidR="002E17AE" w:rsidRPr="002E17AE" w:rsidRDefault="003002FF" w:rsidP="003002FF">
      <w:pPr>
        <w:jc w:val="both"/>
        <w:rPr>
          <w:rFonts w:asciiTheme="majorHAnsi" w:hAnsiTheme="majorHAnsi" w:cstheme="majorHAnsi"/>
          <w:b/>
          <w:i/>
          <w:lang w:val="en-GB"/>
        </w:rPr>
      </w:pPr>
      <w:r w:rsidRPr="008F0D92">
        <w:rPr>
          <w:rFonts w:asciiTheme="majorHAnsi" w:hAnsiTheme="majorHAnsi" w:cstheme="majorHAnsi"/>
          <w:b/>
          <w:bCs/>
          <w:lang w:val="en-GB"/>
        </w:rPr>
        <w:t xml:space="preserve">GAPP JA </w:t>
      </w:r>
      <w:r w:rsidR="008532C5" w:rsidRPr="002E17AE">
        <w:rPr>
          <w:rFonts w:asciiTheme="majorHAnsi" w:hAnsiTheme="majorHAnsi" w:cstheme="majorHAnsi"/>
          <w:b/>
          <w:bCs/>
          <w:lang w:val="en-GB"/>
        </w:rPr>
        <w:t>Coordinator</w:t>
      </w:r>
      <w:r w:rsidR="002E17AE" w:rsidRPr="002E17AE">
        <w:rPr>
          <w:rFonts w:asciiTheme="majorHAnsi" w:hAnsiTheme="majorHAnsi" w:cstheme="majorHAnsi"/>
          <w:b/>
          <w:bCs/>
          <w:lang w:val="en-GB"/>
        </w:rPr>
        <w:t>s</w:t>
      </w:r>
      <w:r w:rsidR="008532C5" w:rsidRPr="002E17AE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8532C5" w:rsidRPr="002E17AE">
        <w:rPr>
          <w:rFonts w:asciiTheme="majorHAnsi" w:hAnsiTheme="majorHAnsi" w:cstheme="majorHAnsi"/>
          <w:lang w:val="en-GB"/>
        </w:rPr>
        <w:t>said</w:t>
      </w:r>
      <w:r w:rsidR="008532C5">
        <w:rPr>
          <w:rFonts w:asciiTheme="majorHAnsi" w:hAnsiTheme="majorHAnsi" w:cstheme="majorHAnsi"/>
          <w:b/>
          <w:bCs/>
          <w:lang w:val="en-GB"/>
        </w:rPr>
        <w:t xml:space="preserve">: </w:t>
      </w:r>
      <w:r w:rsidRPr="008F0D92">
        <w:rPr>
          <w:rFonts w:asciiTheme="majorHAnsi" w:hAnsiTheme="majorHAnsi" w:cstheme="majorHAnsi"/>
          <w:lang w:val="en-GB"/>
        </w:rPr>
        <w:t>“</w:t>
      </w:r>
      <w:r w:rsidRPr="008F0D92">
        <w:rPr>
          <w:rFonts w:asciiTheme="majorHAnsi" w:hAnsiTheme="majorHAnsi" w:cstheme="majorHAnsi"/>
          <w:i/>
          <w:lang w:val="en-GB"/>
        </w:rPr>
        <w:t>GAPP JA deliverables sh</w:t>
      </w:r>
      <w:r w:rsidRPr="00F93A42">
        <w:rPr>
          <w:rFonts w:asciiTheme="majorHAnsi" w:hAnsiTheme="majorHAnsi" w:cstheme="majorHAnsi"/>
          <w:i/>
          <w:lang w:val="en-GB"/>
        </w:rPr>
        <w:t xml:space="preserve">ould be considered as an important milestone </w:t>
      </w:r>
      <w:r w:rsidR="0079392A">
        <w:rPr>
          <w:rFonts w:asciiTheme="majorHAnsi" w:hAnsiTheme="majorHAnsi" w:cstheme="majorHAnsi"/>
          <w:i/>
          <w:lang w:val="en-GB"/>
        </w:rPr>
        <w:t xml:space="preserve">that </w:t>
      </w:r>
      <w:r w:rsidR="0079392A">
        <w:rPr>
          <w:rFonts w:asciiTheme="majorHAnsi" w:hAnsiTheme="majorHAnsi" w:cstheme="majorHAnsi"/>
          <w:bCs/>
          <w:i/>
          <w:lang w:val="en-GB"/>
        </w:rPr>
        <w:t>i</w:t>
      </w:r>
      <w:r w:rsidRPr="0063037C">
        <w:rPr>
          <w:rFonts w:asciiTheme="majorHAnsi" w:hAnsiTheme="majorHAnsi" w:cstheme="majorHAnsi"/>
          <w:bCs/>
          <w:i/>
          <w:lang w:val="en-GB"/>
        </w:rPr>
        <w:t>mprove</w:t>
      </w:r>
      <w:r w:rsidR="0079392A">
        <w:rPr>
          <w:rFonts w:asciiTheme="majorHAnsi" w:hAnsiTheme="majorHAnsi" w:cstheme="majorHAnsi"/>
          <w:bCs/>
          <w:i/>
          <w:lang w:val="en-GB"/>
        </w:rPr>
        <w:t>s</w:t>
      </w:r>
      <w:r w:rsidRPr="0063037C">
        <w:rPr>
          <w:rFonts w:asciiTheme="majorHAnsi" w:hAnsiTheme="majorHAnsi" w:cstheme="majorHAnsi"/>
          <w:bCs/>
          <w:i/>
          <w:lang w:val="en-GB"/>
        </w:rPr>
        <w:t xml:space="preserve"> </w:t>
      </w:r>
      <w:r w:rsidR="0079392A">
        <w:rPr>
          <w:rFonts w:asciiTheme="majorHAnsi" w:hAnsiTheme="majorHAnsi" w:cstheme="majorHAnsi"/>
          <w:bCs/>
          <w:i/>
          <w:lang w:val="en-GB"/>
        </w:rPr>
        <w:t xml:space="preserve">preparation </w:t>
      </w:r>
      <w:r w:rsidRPr="0063037C">
        <w:rPr>
          <w:rFonts w:asciiTheme="majorHAnsi" w:hAnsiTheme="majorHAnsi" w:cstheme="majorHAnsi"/>
          <w:bCs/>
          <w:i/>
          <w:lang w:val="en-GB"/>
        </w:rPr>
        <w:t>practices</w:t>
      </w:r>
      <w:r w:rsidR="00536138">
        <w:rPr>
          <w:rFonts w:asciiTheme="majorHAnsi" w:hAnsiTheme="majorHAnsi" w:cstheme="majorHAnsi"/>
          <w:bCs/>
          <w:i/>
          <w:lang w:val="en-GB"/>
        </w:rPr>
        <w:t>,</w:t>
      </w:r>
      <w:r w:rsidRPr="0063037C">
        <w:rPr>
          <w:rFonts w:asciiTheme="majorHAnsi" w:hAnsiTheme="majorHAnsi" w:cstheme="majorHAnsi"/>
          <w:bCs/>
          <w:i/>
          <w:lang w:val="en-GB"/>
        </w:rPr>
        <w:t xml:space="preserve"> </w:t>
      </w:r>
      <w:r w:rsidR="0079392A">
        <w:rPr>
          <w:rFonts w:asciiTheme="majorHAnsi" w:hAnsiTheme="majorHAnsi" w:cstheme="majorHAnsi"/>
          <w:bCs/>
          <w:i/>
          <w:lang w:val="en-GB"/>
        </w:rPr>
        <w:t xml:space="preserve">and eventual outcome for </w:t>
      </w:r>
      <w:r w:rsidRPr="00F93A42">
        <w:rPr>
          <w:rFonts w:asciiTheme="majorHAnsi" w:hAnsiTheme="majorHAnsi" w:cstheme="majorHAnsi"/>
          <w:i/>
          <w:lang w:val="en-GB"/>
        </w:rPr>
        <w:t>BT</w:t>
      </w:r>
      <w:r w:rsidRPr="0079392A">
        <w:rPr>
          <w:rFonts w:asciiTheme="majorHAnsi" w:hAnsiTheme="majorHAnsi" w:cstheme="majorHAnsi"/>
          <w:i/>
          <w:lang w:val="en-GB"/>
        </w:rPr>
        <w:t xml:space="preserve">C recipients </w:t>
      </w:r>
      <w:r w:rsidR="0079392A">
        <w:rPr>
          <w:rFonts w:asciiTheme="majorHAnsi" w:hAnsiTheme="majorHAnsi" w:cstheme="majorHAnsi"/>
          <w:i/>
          <w:lang w:val="en-GB"/>
        </w:rPr>
        <w:t>across</w:t>
      </w:r>
      <w:r w:rsidRPr="0079392A">
        <w:rPr>
          <w:rFonts w:asciiTheme="majorHAnsi" w:hAnsiTheme="majorHAnsi" w:cstheme="majorHAnsi"/>
          <w:i/>
          <w:lang w:val="en-GB"/>
        </w:rPr>
        <w:t xml:space="preserve"> Europe. </w:t>
      </w:r>
      <w:r w:rsidRPr="0063037C">
        <w:rPr>
          <w:rFonts w:asciiTheme="majorHAnsi" w:hAnsiTheme="majorHAnsi" w:cstheme="majorHAnsi"/>
          <w:bCs/>
          <w:i/>
          <w:lang w:val="en-GB"/>
        </w:rPr>
        <w:t xml:space="preserve">The </w:t>
      </w:r>
      <w:r w:rsidRPr="0079392A">
        <w:rPr>
          <w:rFonts w:asciiTheme="majorHAnsi" w:hAnsiTheme="majorHAnsi" w:cstheme="majorHAnsi"/>
          <w:i/>
          <w:lang w:val="en-GB"/>
        </w:rPr>
        <w:t xml:space="preserve">Action </w:t>
      </w:r>
      <w:r w:rsidRPr="00536138">
        <w:rPr>
          <w:rFonts w:asciiTheme="majorHAnsi" w:hAnsiTheme="majorHAnsi" w:cstheme="majorHAnsi"/>
          <w:b/>
          <w:bCs/>
          <w:i/>
          <w:lang w:val="en-GB"/>
        </w:rPr>
        <w:t>introduces the</w:t>
      </w:r>
      <w:r w:rsidR="0079392A" w:rsidRPr="00536138">
        <w:rPr>
          <w:rFonts w:asciiTheme="majorHAnsi" w:hAnsiTheme="majorHAnsi" w:cstheme="majorHAnsi"/>
          <w:b/>
          <w:bCs/>
          <w:i/>
          <w:lang w:val="en-GB"/>
        </w:rPr>
        <w:t xml:space="preserve"> use of</w:t>
      </w:r>
      <w:r w:rsidRPr="00536138">
        <w:rPr>
          <w:rFonts w:asciiTheme="majorHAnsi" w:hAnsiTheme="majorHAnsi" w:cstheme="majorHAnsi"/>
          <w:b/>
          <w:bCs/>
          <w:i/>
          <w:lang w:val="en-GB"/>
        </w:rPr>
        <w:t xml:space="preserve"> clinical data</w:t>
      </w:r>
      <w:r w:rsidR="0079392A" w:rsidRPr="0063037C">
        <w:rPr>
          <w:rFonts w:asciiTheme="majorHAnsi" w:hAnsiTheme="majorHAnsi" w:cstheme="majorHAnsi"/>
          <w:bCs/>
          <w:i/>
          <w:lang w:val="en-GB"/>
        </w:rPr>
        <w:t xml:space="preserve"> within</w:t>
      </w:r>
      <w:r w:rsidR="0079392A" w:rsidRPr="00F93A42">
        <w:rPr>
          <w:rFonts w:asciiTheme="majorHAnsi" w:hAnsiTheme="majorHAnsi" w:cstheme="majorHAnsi"/>
          <w:i/>
          <w:lang w:val="en-GB"/>
        </w:rPr>
        <w:t xml:space="preserve"> the</w:t>
      </w:r>
      <w:r w:rsidRPr="0079392A">
        <w:rPr>
          <w:rFonts w:asciiTheme="majorHAnsi" w:hAnsiTheme="majorHAnsi" w:cstheme="majorHAnsi"/>
          <w:i/>
          <w:lang w:val="en-GB"/>
        </w:rPr>
        <w:t xml:space="preserve"> authorization procedures</w:t>
      </w:r>
      <w:r w:rsidR="002E17AE">
        <w:rPr>
          <w:rFonts w:asciiTheme="majorHAnsi" w:hAnsiTheme="majorHAnsi" w:cstheme="majorHAnsi"/>
          <w:i/>
          <w:lang w:val="en-GB"/>
        </w:rPr>
        <w:t xml:space="preserve">” – </w:t>
      </w:r>
      <w:r w:rsidR="002E17AE" w:rsidRPr="002E17AE">
        <w:rPr>
          <w:rFonts w:asciiTheme="majorHAnsi" w:hAnsiTheme="majorHAnsi" w:cstheme="majorHAnsi"/>
          <w:b/>
          <w:i/>
          <w:lang w:val="en-GB"/>
        </w:rPr>
        <w:t xml:space="preserve">Massimo Cardillo, Italian National Transplant </w:t>
      </w:r>
      <w:r w:rsidR="00D31FCB">
        <w:rPr>
          <w:rFonts w:asciiTheme="majorHAnsi" w:hAnsiTheme="majorHAnsi" w:cstheme="majorHAnsi"/>
          <w:b/>
          <w:i/>
          <w:lang w:val="en-GB"/>
        </w:rPr>
        <w:t>C</w:t>
      </w:r>
      <w:r w:rsidR="002E17AE" w:rsidRPr="002E17AE">
        <w:rPr>
          <w:rFonts w:asciiTheme="majorHAnsi" w:hAnsiTheme="majorHAnsi" w:cstheme="majorHAnsi"/>
          <w:b/>
          <w:i/>
          <w:lang w:val="en-GB"/>
        </w:rPr>
        <w:t xml:space="preserve">entre Director.  </w:t>
      </w:r>
    </w:p>
    <w:p w14:paraId="19F7F262" w14:textId="2BB25BB0" w:rsidR="003002FF" w:rsidRPr="00D31FCB" w:rsidRDefault="002E17AE" w:rsidP="003002FF">
      <w:pPr>
        <w:jc w:val="both"/>
        <w:rPr>
          <w:rFonts w:asciiTheme="majorHAnsi" w:hAnsiTheme="majorHAnsi" w:cstheme="majorHAnsi"/>
          <w:b/>
          <w:i/>
          <w:lang w:val="en-GB"/>
        </w:rPr>
      </w:pPr>
      <w:r>
        <w:rPr>
          <w:rFonts w:asciiTheme="majorHAnsi" w:hAnsiTheme="majorHAnsi" w:cstheme="majorHAnsi"/>
          <w:i/>
          <w:lang w:val="en-GB"/>
        </w:rPr>
        <w:t>“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The </w:t>
      </w:r>
      <w:r>
        <w:rPr>
          <w:rFonts w:asciiTheme="majorHAnsi" w:hAnsiTheme="majorHAnsi" w:cstheme="majorHAnsi"/>
          <w:i/>
          <w:lang w:val="en-GB"/>
        </w:rPr>
        <w:t xml:space="preserve">GAPP 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Action also identifies the need for </w:t>
      </w:r>
      <w:r w:rsidR="0079392A">
        <w:rPr>
          <w:rFonts w:asciiTheme="majorHAnsi" w:hAnsiTheme="majorHAnsi" w:cstheme="majorHAnsi"/>
          <w:b/>
          <w:bCs/>
          <w:i/>
          <w:lang w:val="en-GB"/>
        </w:rPr>
        <w:t>up-to-date</w:t>
      </w:r>
      <w:r w:rsidR="003002FF" w:rsidRPr="008F0D92">
        <w:rPr>
          <w:rFonts w:asciiTheme="majorHAnsi" w:hAnsiTheme="majorHAnsi" w:cstheme="majorHAnsi"/>
          <w:b/>
          <w:bCs/>
          <w:i/>
          <w:lang w:val="en-GB"/>
        </w:rPr>
        <w:t xml:space="preserve"> guidelines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 based on the evolution of </w:t>
      </w:r>
      <w:r w:rsidR="003002FF" w:rsidRPr="0063037C">
        <w:rPr>
          <w:rFonts w:asciiTheme="majorHAnsi" w:hAnsiTheme="majorHAnsi" w:cstheme="majorHAnsi"/>
          <w:bCs/>
          <w:i/>
          <w:lang w:val="en-GB"/>
        </w:rPr>
        <w:t>research, therapeutics and information technology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, while it lays down the foundations of </w:t>
      </w:r>
      <w:r w:rsidR="003002FF" w:rsidRPr="008F0D92">
        <w:rPr>
          <w:rFonts w:asciiTheme="majorHAnsi" w:hAnsiTheme="majorHAnsi" w:cstheme="majorHAnsi"/>
          <w:b/>
          <w:bCs/>
          <w:i/>
          <w:lang w:val="en-GB"/>
        </w:rPr>
        <w:t xml:space="preserve">a central </w:t>
      </w:r>
      <w:r w:rsidR="003002FF">
        <w:rPr>
          <w:rFonts w:asciiTheme="majorHAnsi" w:hAnsiTheme="majorHAnsi" w:cstheme="majorHAnsi"/>
          <w:b/>
          <w:bCs/>
          <w:i/>
          <w:lang w:val="en-GB"/>
        </w:rPr>
        <w:t xml:space="preserve">knowledge </w:t>
      </w:r>
      <w:r w:rsidR="003002FF" w:rsidRPr="00732573">
        <w:rPr>
          <w:rFonts w:asciiTheme="majorHAnsi" w:hAnsiTheme="majorHAnsi" w:cstheme="majorHAnsi"/>
          <w:b/>
          <w:bCs/>
          <w:i/>
          <w:lang w:val="en-GB"/>
        </w:rPr>
        <w:t xml:space="preserve">sharing </w:t>
      </w:r>
      <w:r w:rsidR="003002FF" w:rsidRPr="001B53F8">
        <w:rPr>
          <w:rFonts w:asciiTheme="majorHAnsi" w:hAnsiTheme="majorHAnsi" w:cstheme="majorHAnsi"/>
          <w:b/>
          <w:bCs/>
          <w:i/>
          <w:lang w:val="en-GB"/>
        </w:rPr>
        <w:t>platform</w:t>
      </w:r>
      <w:r w:rsidR="003002FF" w:rsidRPr="008F0D92">
        <w:rPr>
          <w:rFonts w:asciiTheme="majorHAnsi" w:hAnsiTheme="majorHAnsi" w:cstheme="majorHAnsi"/>
          <w:i/>
          <w:lang w:val="en-GB"/>
        </w:rPr>
        <w:t xml:space="preserve"> at an EU </w:t>
      </w:r>
      <w:bookmarkStart w:id="0" w:name="_Hlk90810670"/>
      <w:r w:rsidR="003002FF" w:rsidRPr="008F0D92">
        <w:rPr>
          <w:rFonts w:asciiTheme="majorHAnsi" w:hAnsiTheme="majorHAnsi" w:cstheme="majorHAnsi"/>
          <w:i/>
          <w:lang w:val="en-GB"/>
        </w:rPr>
        <w:t>level which can be updated, easily accessible and transparent.</w:t>
      </w:r>
      <w:r w:rsidR="003002FF" w:rsidRPr="008F0D92">
        <w:rPr>
          <w:rFonts w:asciiTheme="majorHAnsi" w:hAnsiTheme="majorHAnsi" w:cstheme="majorHAnsi"/>
          <w:lang w:val="en-GB"/>
        </w:rPr>
        <w:t xml:space="preserve">” </w:t>
      </w:r>
      <w:bookmarkEnd w:id="0"/>
      <w:r>
        <w:rPr>
          <w:rFonts w:asciiTheme="majorHAnsi" w:hAnsiTheme="majorHAnsi" w:cstheme="majorHAnsi"/>
          <w:lang w:val="en-GB"/>
        </w:rPr>
        <w:t xml:space="preserve">– </w:t>
      </w:r>
      <w:r w:rsidRPr="00D31FCB">
        <w:rPr>
          <w:rFonts w:asciiTheme="majorHAnsi" w:hAnsiTheme="majorHAnsi" w:cstheme="majorHAnsi"/>
          <w:b/>
          <w:i/>
          <w:lang w:val="en-GB"/>
        </w:rPr>
        <w:t>Vincenzo De Angelis, Italian National Blood Centre Director</w:t>
      </w:r>
    </w:p>
    <w:p w14:paraId="581A6C2C" w14:textId="6F485162" w:rsidR="003002FF" w:rsidRDefault="003002FF" w:rsidP="003002FF">
      <w:pPr>
        <w:jc w:val="both"/>
        <w:rPr>
          <w:rFonts w:asciiTheme="majorHAnsi" w:hAnsiTheme="majorHAnsi" w:cstheme="majorHAnsi"/>
          <w:lang w:val="en-GB"/>
        </w:rPr>
      </w:pPr>
      <w:bookmarkStart w:id="1" w:name="_Hlk90831729"/>
      <w:r w:rsidRPr="008F0D92">
        <w:rPr>
          <w:rFonts w:asciiTheme="majorHAnsi" w:hAnsiTheme="majorHAnsi" w:cstheme="majorHAnsi"/>
          <w:lang w:val="en-GB"/>
        </w:rPr>
        <w:t>During these past years, important work has been done by experts and CAs at the EU level, through the Joint Action.</w:t>
      </w:r>
      <w:r w:rsidRPr="008F0D92">
        <w:rPr>
          <w:rFonts w:asciiTheme="majorHAnsi" w:hAnsiTheme="majorHAnsi" w:cstheme="majorHAnsi"/>
          <w:b/>
          <w:bCs/>
          <w:lang w:val="en-GB"/>
        </w:rPr>
        <w:t xml:space="preserve"> </w:t>
      </w:r>
      <w:bookmarkEnd w:id="1"/>
      <w:r w:rsidRPr="008F0D92">
        <w:rPr>
          <w:rFonts w:asciiTheme="majorHAnsi" w:hAnsiTheme="majorHAnsi" w:cstheme="majorHAnsi"/>
          <w:lang w:val="en-GB"/>
        </w:rPr>
        <w:t>Member</w:t>
      </w:r>
      <w:r w:rsidR="0079392A">
        <w:rPr>
          <w:rFonts w:asciiTheme="majorHAnsi" w:hAnsiTheme="majorHAnsi" w:cstheme="majorHAnsi"/>
          <w:lang w:val="en-GB"/>
        </w:rPr>
        <w:t>s</w:t>
      </w:r>
      <w:r w:rsidRPr="008F0D92">
        <w:rPr>
          <w:rFonts w:asciiTheme="majorHAnsi" w:hAnsiTheme="majorHAnsi" w:cstheme="majorHAnsi"/>
          <w:lang w:val="en-GB"/>
        </w:rPr>
        <w:t xml:space="preserve"> worked towards:</w:t>
      </w:r>
    </w:p>
    <w:p w14:paraId="4466FE15" w14:textId="77777777" w:rsidR="006120A9" w:rsidRPr="008F0D92" w:rsidRDefault="006120A9" w:rsidP="003002FF">
      <w:pPr>
        <w:jc w:val="both"/>
        <w:rPr>
          <w:rFonts w:asciiTheme="majorHAnsi" w:hAnsiTheme="majorHAnsi" w:cstheme="majorHAnsi"/>
          <w:lang w:val="en-GB"/>
        </w:rPr>
      </w:pPr>
    </w:p>
    <w:p w14:paraId="08B4B445" w14:textId="0CD2D7AB" w:rsidR="003002FF" w:rsidRPr="008F0D92" w:rsidRDefault="003002FF" w:rsidP="003002FF">
      <w:pPr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lang w:val="en-GB"/>
        </w:rPr>
      </w:pPr>
      <w:r w:rsidRPr="008F0D92">
        <w:rPr>
          <w:rFonts w:asciiTheme="majorHAnsi" w:hAnsiTheme="majorHAnsi" w:cstheme="majorHAnsi"/>
          <w:lang w:val="en-GB"/>
        </w:rPr>
        <w:t>providing EU CAs with the tools for the</w:t>
      </w:r>
      <w:r w:rsidRPr="008F0D92">
        <w:rPr>
          <w:rFonts w:asciiTheme="majorHAnsi" w:hAnsiTheme="majorHAnsi" w:cstheme="majorHAnsi"/>
          <w:b/>
          <w:bCs/>
          <w:lang w:val="en-GB"/>
        </w:rPr>
        <w:t xml:space="preserve"> standardisation </w:t>
      </w:r>
      <w:r w:rsidRPr="008F0D92">
        <w:rPr>
          <w:rFonts w:asciiTheme="majorHAnsi" w:hAnsiTheme="majorHAnsi" w:cstheme="majorHAnsi"/>
          <w:lang w:val="en-GB"/>
        </w:rPr>
        <w:t>and</w:t>
      </w:r>
      <w:r w:rsidRPr="008F0D92">
        <w:rPr>
          <w:rFonts w:asciiTheme="majorHAnsi" w:hAnsiTheme="majorHAnsi" w:cstheme="majorHAnsi"/>
          <w:b/>
          <w:bCs/>
          <w:lang w:val="en-GB"/>
        </w:rPr>
        <w:t xml:space="preserve"> harmonisation </w:t>
      </w:r>
      <w:r w:rsidRPr="008F0D92">
        <w:rPr>
          <w:rFonts w:asciiTheme="majorHAnsi" w:hAnsiTheme="majorHAnsi" w:cstheme="majorHAnsi"/>
          <w:lang w:val="en-GB"/>
        </w:rPr>
        <w:t>of processes across EU Member States</w:t>
      </w:r>
      <w:r w:rsidR="0079392A">
        <w:rPr>
          <w:rFonts w:asciiTheme="majorHAnsi" w:hAnsiTheme="majorHAnsi" w:cstheme="majorHAnsi"/>
          <w:lang w:val="en-GB"/>
        </w:rPr>
        <w:t>.</w:t>
      </w:r>
    </w:p>
    <w:p w14:paraId="17747E34" w14:textId="77777777" w:rsidR="003002FF" w:rsidRPr="008F0D92" w:rsidRDefault="003002FF" w:rsidP="003002FF">
      <w:pPr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lang w:val="en-GB"/>
        </w:rPr>
      </w:pPr>
      <w:r w:rsidRPr="008F0D92">
        <w:rPr>
          <w:rFonts w:asciiTheme="majorHAnsi" w:hAnsiTheme="majorHAnsi" w:cstheme="majorHAnsi"/>
          <w:lang w:val="en-GB"/>
        </w:rPr>
        <w:t xml:space="preserve">a uniform approach for </w:t>
      </w:r>
      <w:r w:rsidRPr="008F0D92">
        <w:rPr>
          <w:rFonts w:asciiTheme="majorHAnsi" w:hAnsiTheme="majorHAnsi" w:cstheme="majorHAnsi"/>
          <w:b/>
          <w:bCs/>
          <w:lang w:val="en-GB"/>
        </w:rPr>
        <w:t>patient safety</w:t>
      </w:r>
    </w:p>
    <w:p w14:paraId="6B1A6123" w14:textId="77777777" w:rsidR="003002FF" w:rsidRPr="008F0D92" w:rsidRDefault="003002FF" w:rsidP="003002FF">
      <w:pPr>
        <w:numPr>
          <w:ilvl w:val="0"/>
          <w:numId w:val="5"/>
        </w:numPr>
        <w:spacing w:after="0"/>
        <w:contextualSpacing/>
        <w:jc w:val="both"/>
        <w:rPr>
          <w:rFonts w:asciiTheme="majorHAnsi" w:hAnsiTheme="majorHAnsi" w:cstheme="majorHAnsi"/>
          <w:lang w:val="en-GB"/>
        </w:rPr>
      </w:pPr>
      <w:r w:rsidRPr="008F0D92">
        <w:rPr>
          <w:rFonts w:asciiTheme="majorHAnsi" w:hAnsiTheme="majorHAnsi" w:cstheme="majorHAnsi"/>
          <w:lang w:val="en-GB"/>
        </w:rPr>
        <w:t xml:space="preserve">ensuring </w:t>
      </w:r>
      <w:r w:rsidRPr="008F0D92">
        <w:rPr>
          <w:rFonts w:asciiTheme="majorHAnsi" w:hAnsiTheme="majorHAnsi" w:cstheme="majorHAnsi"/>
          <w:b/>
          <w:bCs/>
          <w:lang w:val="en-GB"/>
        </w:rPr>
        <w:t>quality</w:t>
      </w:r>
      <w:r w:rsidRPr="008F0D92">
        <w:rPr>
          <w:rFonts w:asciiTheme="majorHAnsi" w:hAnsiTheme="majorHAnsi" w:cstheme="majorHAnsi"/>
          <w:lang w:val="en-GB"/>
        </w:rPr>
        <w:t xml:space="preserve"> of BTC used for transfusion, transplantation or medically assisted reproduction and improving the </w:t>
      </w:r>
      <w:r w:rsidRPr="008F0D92">
        <w:rPr>
          <w:rFonts w:asciiTheme="majorHAnsi" w:hAnsiTheme="majorHAnsi" w:cstheme="majorHAnsi"/>
          <w:b/>
          <w:bCs/>
          <w:lang w:val="en-GB"/>
        </w:rPr>
        <w:t>effectiveness</w:t>
      </w:r>
      <w:r w:rsidRPr="008F0D92">
        <w:rPr>
          <w:rFonts w:asciiTheme="majorHAnsi" w:hAnsiTheme="majorHAnsi" w:cstheme="majorHAnsi"/>
          <w:lang w:val="en-GB"/>
        </w:rPr>
        <w:t xml:space="preserve"> of </w:t>
      </w:r>
      <w:r w:rsidRPr="008F0D92">
        <w:rPr>
          <w:rFonts w:asciiTheme="majorHAnsi" w:hAnsiTheme="majorHAnsi" w:cstheme="majorHAnsi"/>
          <w:b/>
          <w:bCs/>
          <w:lang w:val="en-GB"/>
        </w:rPr>
        <w:t>practices</w:t>
      </w:r>
      <w:r w:rsidRPr="008F0D92">
        <w:rPr>
          <w:rFonts w:asciiTheme="majorHAnsi" w:hAnsiTheme="majorHAnsi" w:cstheme="majorHAnsi"/>
          <w:lang w:val="en-GB"/>
        </w:rPr>
        <w:t xml:space="preserve"> and </w:t>
      </w:r>
      <w:r w:rsidRPr="008F0D92">
        <w:rPr>
          <w:rFonts w:asciiTheme="majorHAnsi" w:hAnsiTheme="majorHAnsi" w:cstheme="majorHAnsi"/>
          <w:b/>
          <w:bCs/>
          <w:lang w:val="en-GB"/>
        </w:rPr>
        <w:t>treatments</w:t>
      </w:r>
      <w:r w:rsidRPr="008F0D92">
        <w:rPr>
          <w:rFonts w:asciiTheme="majorHAnsi" w:hAnsiTheme="majorHAnsi" w:cstheme="majorHAnsi"/>
          <w:lang w:val="en-GB"/>
        </w:rPr>
        <w:t xml:space="preserve"> for recipients </w:t>
      </w:r>
    </w:p>
    <w:p w14:paraId="6E0D6A28" w14:textId="77777777" w:rsidR="003002FF" w:rsidRPr="008F0D92" w:rsidRDefault="003002FF" w:rsidP="003002FF">
      <w:pPr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  <w:lang w:val="en-GB"/>
        </w:rPr>
      </w:pPr>
      <w:r w:rsidRPr="008F0D92">
        <w:rPr>
          <w:rFonts w:asciiTheme="majorHAnsi" w:hAnsiTheme="majorHAnsi" w:cstheme="majorHAnsi"/>
          <w:lang w:val="en-GB"/>
        </w:rPr>
        <w:t xml:space="preserve">the </w:t>
      </w:r>
      <w:r w:rsidRPr="008F0D92">
        <w:rPr>
          <w:rFonts w:asciiTheme="majorHAnsi" w:hAnsiTheme="majorHAnsi" w:cstheme="majorHAnsi"/>
          <w:b/>
          <w:bCs/>
          <w:lang w:val="en-GB"/>
        </w:rPr>
        <w:t xml:space="preserve">revision </w:t>
      </w:r>
      <w:r w:rsidRPr="008F0D92">
        <w:rPr>
          <w:rFonts w:asciiTheme="majorHAnsi" w:hAnsiTheme="majorHAnsi" w:cstheme="majorHAnsi"/>
          <w:lang w:val="en-GB"/>
        </w:rPr>
        <w:t xml:space="preserve">of the EU legislation on </w:t>
      </w:r>
      <w:r>
        <w:rPr>
          <w:rFonts w:asciiTheme="majorHAnsi" w:hAnsiTheme="majorHAnsi" w:cstheme="majorHAnsi"/>
          <w:lang w:val="en-GB"/>
        </w:rPr>
        <w:t>BTC</w:t>
      </w:r>
      <w:r w:rsidRPr="008F0D92">
        <w:rPr>
          <w:rFonts w:asciiTheme="majorHAnsi" w:hAnsiTheme="majorHAnsi" w:cstheme="majorHAnsi"/>
          <w:lang w:val="en-GB"/>
        </w:rPr>
        <w:t xml:space="preserve"> and the </w:t>
      </w:r>
      <w:r w:rsidRPr="008F0D92">
        <w:rPr>
          <w:rFonts w:asciiTheme="majorHAnsi" w:hAnsiTheme="majorHAnsi" w:cstheme="majorHAnsi"/>
          <w:b/>
          <w:bCs/>
          <w:lang w:val="en-GB"/>
        </w:rPr>
        <w:t xml:space="preserve">implementation </w:t>
      </w:r>
      <w:r w:rsidRPr="008F0D92">
        <w:rPr>
          <w:rFonts w:asciiTheme="majorHAnsi" w:hAnsiTheme="majorHAnsi" w:cstheme="majorHAnsi"/>
          <w:lang w:val="en-GB"/>
        </w:rPr>
        <w:t>of Union legislation</w:t>
      </w:r>
    </w:p>
    <w:p w14:paraId="13AE76D9" w14:textId="77777777" w:rsidR="003002FF" w:rsidRPr="008F0D92" w:rsidRDefault="003002FF" w:rsidP="003002FF">
      <w:pPr>
        <w:spacing w:after="0"/>
        <w:jc w:val="both"/>
        <w:rPr>
          <w:rFonts w:asciiTheme="majorHAnsi" w:hAnsiTheme="majorHAnsi" w:cstheme="majorHAnsi"/>
          <w:lang w:val="en-GB"/>
        </w:rPr>
      </w:pPr>
    </w:p>
    <w:p w14:paraId="27120F1E" w14:textId="272BCEA7" w:rsidR="003002FF" w:rsidRPr="008F0D92" w:rsidRDefault="000852EC" w:rsidP="003002FF">
      <w:pPr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One</w:t>
      </w:r>
      <w:r w:rsidR="0079392A">
        <w:rPr>
          <w:rFonts w:asciiTheme="majorHAnsi" w:hAnsiTheme="majorHAnsi" w:cstheme="majorHAnsi"/>
          <w:lang w:val="en-GB"/>
        </w:rPr>
        <w:t xml:space="preserve"> durable output of the </w:t>
      </w:r>
      <w:r w:rsidR="003002FF" w:rsidRPr="008F0D92">
        <w:rPr>
          <w:rFonts w:asciiTheme="majorHAnsi" w:hAnsiTheme="majorHAnsi" w:cstheme="majorHAnsi"/>
          <w:lang w:val="en-GB"/>
        </w:rPr>
        <w:t xml:space="preserve">GAPP JA is a concept model for a 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>knowledge sharing platform</w:t>
      </w:r>
      <w:r w:rsidR="003002FF" w:rsidRPr="008F0D92">
        <w:rPr>
          <w:rFonts w:asciiTheme="majorHAnsi" w:hAnsiTheme="majorHAnsi" w:cstheme="majorHAnsi"/>
          <w:lang w:val="en-GB"/>
        </w:rPr>
        <w:t xml:space="preserve"> that can</w:t>
      </w:r>
      <w:r>
        <w:rPr>
          <w:rFonts w:asciiTheme="majorHAnsi" w:hAnsiTheme="majorHAnsi" w:cstheme="majorHAnsi"/>
          <w:lang w:val="en-GB"/>
        </w:rPr>
        <w:t xml:space="preserve"> facilitate </w:t>
      </w:r>
      <w:r w:rsidRPr="008F0D92">
        <w:rPr>
          <w:rFonts w:asciiTheme="majorHAnsi" w:hAnsiTheme="majorHAnsi" w:cstheme="majorHAnsi"/>
          <w:lang w:val="en-GB"/>
        </w:rPr>
        <w:t>information sharing in the EU</w:t>
      </w:r>
      <w:r>
        <w:rPr>
          <w:rFonts w:asciiTheme="majorHAnsi" w:hAnsiTheme="majorHAnsi" w:cstheme="majorHAnsi"/>
          <w:lang w:val="en-GB"/>
        </w:rPr>
        <w:t xml:space="preserve"> and </w:t>
      </w:r>
      <w:r w:rsidR="003002FF" w:rsidRPr="008F0D92">
        <w:rPr>
          <w:rFonts w:asciiTheme="majorHAnsi" w:hAnsiTheme="majorHAnsi" w:cstheme="majorHAnsi"/>
          <w:lang w:val="en-GB"/>
        </w:rPr>
        <w:t>support</w:t>
      </w:r>
      <w:r>
        <w:rPr>
          <w:rFonts w:asciiTheme="majorHAnsi" w:hAnsiTheme="majorHAnsi" w:cstheme="majorHAnsi"/>
          <w:lang w:val="en-GB"/>
        </w:rPr>
        <w:t>s the</w:t>
      </w:r>
      <w:r w:rsidR="003002FF" w:rsidRPr="008F0D92">
        <w:rPr>
          <w:rFonts w:asciiTheme="majorHAnsi" w:hAnsiTheme="majorHAnsi" w:cstheme="majorHAnsi"/>
          <w:lang w:val="en-GB"/>
        </w:rPr>
        <w:t xml:space="preserve"> CAs in the assessment and evaluation of novel preparation processes of </w:t>
      </w:r>
      <w:r>
        <w:rPr>
          <w:rFonts w:asciiTheme="majorHAnsi" w:hAnsiTheme="majorHAnsi" w:cstheme="majorHAnsi"/>
          <w:lang w:val="en-GB"/>
        </w:rPr>
        <w:t xml:space="preserve">BTC </w:t>
      </w:r>
      <w:r w:rsidR="003002FF" w:rsidRPr="008F0D92">
        <w:rPr>
          <w:rFonts w:asciiTheme="majorHAnsi" w:hAnsiTheme="majorHAnsi" w:cstheme="majorHAnsi"/>
          <w:lang w:val="en-GB"/>
        </w:rPr>
        <w:t xml:space="preserve">(PPAs). Furthermore, the Action has already </w:t>
      </w:r>
      <w:r>
        <w:rPr>
          <w:rFonts w:asciiTheme="majorHAnsi" w:hAnsiTheme="majorHAnsi" w:cstheme="majorHAnsi"/>
          <w:lang w:val="en-GB"/>
        </w:rPr>
        <w:t>organised</w:t>
      </w:r>
      <w:r w:rsidR="003002FF" w:rsidRPr="008F0D92">
        <w:rPr>
          <w:rFonts w:asciiTheme="majorHAnsi" w:hAnsiTheme="majorHAnsi" w:cstheme="majorHAnsi"/>
          <w:lang w:val="en-GB"/>
        </w:rPr>
        <w:t> 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 xml:space="preserve">a free 3-month Advanced Training Course </w:t>
      </w:r>
      <w:r w:rsidR="003002FF" w:rsidRPr="008F0D92">
        <w:rPr>
          <w:rFonts w:asciiTheme="majorHAnsi" w:hAnsiTheme="majorHAnsi" w:cstheme="majorHAnsi"/>
          <w:lang w:val="en-GB"/>
        </w:rPr>
        <w:t>consisting of 7 modules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3002FF" w:rsidRPr="008F0D92">
        <w:rPr>
          <w:rFonts w:asciiTheme="majorHAnsi" w:hAnsiTheme="majorHAnsi" w:cstheme="majorHAnsi"/>
          <w:lang w:val="en-GB"/>
        </w:rPr>
        <w:t>on ‘Common Approaches to PPA Authorisation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3002FF" w:rsidRPr="008F0D92">
        <w:rPr>
          <w:rFonts w:asciiTheme="majorHAnsi" w:hAnsiTheme="majorHAnsi" w:cstheme="majorHAnsi"/>
          <w:lang w:val="en-GB"/>
        </w:rPr>
        <w:t>in the blood tissues cells, and MAR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3002FF" w:rsidRPr="008F0D92">
        <w:rPr>
          <w:rFonts w:asciiTheme="majorHAnsi" w:hAnsiTheme="majorHAnsi" w:cstheme="majorHAnsi"/>
          <w:lang w:val="en-GB"/>
        </w:rPr>
        <w:t>sectors’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3002FF" w:rsidRPr="008F0D92">
        <w:rPr>
          <w:rFonts w:asciiTheme="majorHAnsi" w:hAnsiTheme="majorHAnsi" w:cstheme="majorHAnsi"/>
          <w:lang w:val="en-GB"/>
        </w:rPr>
        <w:t>addressed to European experienced inspectors and assessors,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3002FF" w:rsidRPr="008F0D92">
        <w:rPr>
          <w:rFonts w:asciiTheme="majorHAnsi" w:hAnsiTheme="majorHAnsi" w:cstheme="majorHAnsi"/>
          <w:lang w:val="en-GB"/>
        </w:rPr>
        <w:t xml:space="preserve">including 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>e-learning platform</w:t>
      </w:r>
      <w:r w:rsidR="003002FF" w:rsidRPr="008F0D92">
        <w:rPr>
          <w:rFonts w:asciiTheme="majorHAnsi" w:hAnsiTheme="majorHAnsi" w:cstheme="majorHAnsi"/>
          <w:lang w:val="en-GB"/>
        </w:rPr>
        <w:t xml:space="preserve"> and 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>virtual live sessions</w:t>
      </w:r>
      <w:r w:rsidR="003002FF" w:rsidRPr="008F0D92">
        <w:rPr>
          <w:rFonts w:asciiTheme="majorHAnsi" w:hAnsiTheme="majorHAnsi" w:cstheme="majorHAnsi"/>
          <w:lang w:val="en-GB"/>
        </w:rPr>
        <w:t xml:space="preserve">. So far, nearly 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>forty experts</w:t>
      </w:r>
      <w:r w:rsidR="003002FF" w:rsidRPr="008F0D92">
        <w:rPr>
          <w:rFonts w:asciiTheme="majorHAnsi" w:hAnsiTheme="majorHAnsi" w:cstheme="majorHAnsi"/>
          <w:lang w:val="en-GB"/>
        </w:rPr>
        <w:t xml:space="preserve"> from the EU MS CAs have been successfully trained by the Action. The </w:t>
      </w:r>
      <w:r w:rsidR="003002FF" w:rsidRPr="008F0D92">
        <w:rPr>
          <w:rFonts w:asciiTheme="majorHAnsi" w:hAnsiTheme="majorHAnsi" w:cstheme="majorHAnsi"/>
          <w:bCs/>
          <w:lang w:val="en-GB"/>
        </w:rPr>
        <w:t>aim is to train as m</w:t>
      </w:r>
      <w:r w:rsidR="00012908">
        <w:rPr>
          <w:rFonts w:asciiTheme="majorHAnsi" w:hAnsiTheme="majorHAnsi" w:cstheme="majorHAnsi"/>
          <w:bCs/>
          <w:lang w:val="en-GB"/>
        </w:rPr>
        <w:t>any as</w:t>
      </w:r>
      <w:r w:rsidR="003002FF" w:rsidRPr="008F0D92">
        <w:rPr>
          <w:rFonts w:asciiTheme="majorHAnsi" w:hAnsiTheme="majorHAnsi" w:cstheme="majorHAnsi"/>
          <w:bCs/>
          <w:lang w:val="en-GB"/>
        </w:rPr>
        <w:t xml:space="preserve"> CAs inspector</w:t>
      </w:r>
      <w:r w:rsidR="003002FF">
        <w:rPr>
          <w:rFonts w:asciiTheme="majorHAnsi" w:hAnsiTheme="majorHAnsi" w:cstheme="majorHAnsi"/>
          <w:bCs/>
          <w:lang w:val="en-GB"/>
        </w:rPr>
        <w:t>s</w:t>
      </w:r>
      <w:r w:rsidR="003002FF" w:rsidRPr="008F0D92">
        <w:rPr>
          <w:rFonts w:asciiTheme="majorHAnsi" w:hAnsiTheme="majorHAnsi" w:cstheme="majorHAnsi"/>
          <w:bCs/>
          <w:lang w:val="en-GB"/>
        </w:rPr>
        <w:t>/assessor</w:t>
      </w:r>
      <w:r w:rsidR="003002FF">
        <w:rPr>
          <w:rFonts w:asciiTheme="majorHAnsi" w:hAnsiTheme="majorHAnsi" w:cstheme="majorHAnsi"/>
          <w:bCs/>
          <w:lang w:val="en-GB"/>
        </w:rPr>
        <w:t>s</w:t>
      </w:r>
      <w:r w:rsidR="003002FF" w:rsidRPr="00F833E4">
        <w:rPr>
          <w:rFonts w:asciiTheme="majorHAnsi" w:hAnsiTheme="majorHAnsi" w:cstheme="majorHAnsi"/>
          <w:bCs/>
          <w:lang w:val="en-GB"/>
        </w:rPr>
        <w:t xml:space="preserve"> as possible</w:t>
      </w:r>
      <w:r>
        <w:rPr>
          <w:rFonts w:asciiTheme="majorHAnsi" w:hAnsiTheme="majorHAnsi" w:cstheme="majorHAnsi"/>
          <w:lang w:val="en-GB"/>
        </w:rPr>
        <w:t>, and therewith d</w:t>
      </w:r>
      <w:r w:rsidR="003002FF" w:rsidRPr="008F0D92">
        <w:rPr>
          <w:rFonts w:asciiTheme="majorHAnsi" w:hAnsiTheme="majorHAnsi" w:cstheme="majorHAnsi"/>
          <w:lang w:val="en-GB"/>
        </w:rPr>
        <w:t>evelop an international network of experts that can support CAs</w:t>
      </w:r>
      <w:r w:rsidR="003002FF">
        <w:rPr>
          <w:rFonts w:asciiTheme="majorHAnsi" w:hAnsiTheme="majorHAnsi" w:cstheme="majorHAnsi"/>
          <w:lang w:val="en-GB"/>
        </w:rPr>
        <w:t xml:space="preserve"> when evaluating new preparation process authorization.</w:t>
      </w:r>
    </w:p>
    <w:p w14:paraId="256427F7" w14:textId="77777777" w:rsidR="00012908" w:rsidRPr="004252F7" w:rsidRDefault="00012908" w:rsidP="003002FF">
      <w:pPr>
        <w:jc w:val="both"/>
        <w:rPr>
          <w:rFonts w:asciiTheme="majorHAnsi" w:hAnsiTheme="majorHAnsi" w:cstheme="majorHAnsi"/>
          <w:color w:val="000000"/>
        </w:rPr>
      </w:pPr>
    </w:p>
    <w:p w14:paraId="3309AE66" w14:textId="5A1D9F4D" w:rsidR="003002FF" w:rsidRPr="008F0D92" w:rsidRDefault="003002FF" w:rsidP="003002FF">
      <w:pPr>
        <w:jc w:val="both"/>
        <w:rPr>
          <w:rFonts w:asciiTheme="majorHAnsi" w:hAnsiTheme="majorHAnsi" w:cstheme="majorHAnsi"/>
          <w:b/>
          <w:bCs/>
          <w:color w:val="000000"/>
          <w:lang w:val="en-GB"/>
        </w:rPr>
      </w:pPr>
      <w:r w:rsidRPr="008F0D92">
        <w:rPr>
          <w:rFonts w:asciiTheme="majorHAnsi" w:hAnsiTheme="majorHAnsi" w:cstheme="majorHAnsi"/>
          <w:b/>
          <w:bCs/>
          <w:color w:val="000000"/>
          <w:lang w:val="en-GB"/>
        </w:rPr>
        <w:t>Notes to Editors:</w:t>
      </w:r>
    </w:p>
    <w:p w14:paraId="1AC458CF" w14:textId="0CBDF92B" w:rsidR="00A53E69" w:rsidRPr="00A53E69" w:rsidRDefault="00363CEE" w:rsidP="00A745AF">
      <w:pPr>
        <w:spacing w:line="276" w:lineRule="auto"/>
        <w:rPr>
          <w:rFonts w:asciiTheme="majorHAnsi" w:hAnsiTheme="majorHAnsi" w:cstheme="majorHAnsi"/>
        </w:rPr>
      </w:pPr>
      <w:hyperlink r:id="rId9" w:history="1">
        <w:r w:rsidR="00A745AF" w:rsidRPr="00E06C00">
          <w:rPr>
            <w:rStyle w:val="Hyperlink"/>
            <w:rFonts w:asciiTheme="majorHAnsi" w:hAnsiTheme="majorHAnsi" w:cstheme="majorHAnsi"/>
            <w:b/>
            <w:bCs/>
            <w:lang w:val="en-GB"/>
          </w:rPr>
          <w:t xml:space="preserve">About </w:t>
        </w:r>
        <w:r w:rsidR="003002FF" w:rsidRPr="00E06C00">
          <w:rPr>
            <w:rStyle w:val="Hyperlink"/>
            <w:rFonts w:asciiTheme="majorHAnsi" w:hAnsiTheme="majorHAnsi" w:cstheme="majorHAnsi"/>
            <w:b/>
            <w:bCs/>
            <w:lang w:val="en-GB"/>
          </w:rPr>
          <w:t>GAPP JA infographic</w:t>
        </w:r>
      </w:hyperlink>
      <w:r w:rsidR="00A745AF" w:rsidRPr="001B53F8">
        <w:rPr>
          <w:rFonts w:asciiTheme="majorHAnsi" w:hAnsiTheme="majorHAnsi" w:cstheme="majorHAnsi"/>
          <w:b/>
          <w:bCs/>
          <w:color w:val="000000"/>
          <w:lang w:val="en-GB"/>
        </w:rPr>
        <w:br/>
      </w:r>
      <w:r w:rsidR="00A745AF" w:rsidRPr="00E06C00">
        <w:rPr>
          <w:rFonts w:asciiTheme="majorHAnsi" w:hAnsiTheme="majorHAnsi" w:cstheme="majorHAnsi"/>
          <w:b/>
          <w:bCs/>
          <w:color w:val="000000"/>
          <w:lang w:val="en-GB"/>
        </w:rPr>
        <w:t xml:space="preserve">GAPP JA </w:t>
      </w:r>
      <w:hyperlink r:id="rId10" w:history="1">
        <w:r w:rsidR="00A745AF" w:rsidRPr="00E06C00">
          <w:rPr>
            <w:rStyle w:val="Hyperlink"/>
            <w:rFonts w:asciiTheme="majorHAnsi" w:hAnsiTheme="majorHAnsi" w:cstheme="majorHAnsi"/>
            <w:b/>
            <w:bCs/>
            <w:lang w:val="en-GB"/>
          </w:rPr>
          <w:t>Position Statement infographic</w:t>
        </w:r>
      </w:hyperlink>
      <w:r w:rsidR="00A745AF">
        <w:rPr>
          <w:rFonts w:asciiTheme="majorHAnsi" w:hAnsiTheme="majorHAnsi" w:cstheme="majorHAnsi"/>
          <w:b/>
          <w:bCs/>
          <w:color w:val="000000"/>
          <w:lang w:val="en-GB"/>
        </w:rPr>
        <w:br/>
      </w:r>
      <w:r w:rsidR="003002FF" w:rsidRPr="008F0D92">
        <w:rPr>
          <w:rFonts w:asciiTheme="majorHAnsi" w:hAnsiTheme="majorHAnsi" w:cstheme="majorHAnsi"/>
          <w:b/>
          <w:bCs/>
          <w:color w:val="000000"/>
          <w:lang w:val="en-GB"/>
        </w:rPr>
        <w:t xml:space="preserve">GAPP </w:t>
      </w:r>
      <w:hyperlink r:id="rId11" w:tgtFrame="_blank" w:history="1">
        <w:r w:rsidR="003002FF" w:rsidRPr="008F0D92">
          <w:rPr>
            <w:rStyle w:val="Hyperlink"/>
            <w:rFonts w:asciiTheme="majorHAnsi" w:hAnsiTheme="majorHAnsi" w:cstheme="majorHAnsi"/>
            <w:b/>
            <w:bCs/>
            <w:lang w:val="en-GB"/>
          </w:rPr>
          <w:t>two-minute video</w:t>
        </w:r>
      </w:hyperlink>
      <w:r w:rsidR="00A53E69">
        <w:rPr>
          <w:rStyle w:val="Hyperlink"/>
          <w:rFonts w:asciiTheme="majorHAnsi" w:hAnsiTheme="majorHAnsi" w:cstheme="majorHAnsi"/>
          <w:b/>
          <w:bCs/>
          <w:lang w:val="en-GB"/>
        </w:rPr>
        <w:br/>
      </w:r>
      <w:r w:rsidR="00A53E69">
        <w:t xml:space="preserve">Images </w:t>
      </w:r>
      <w:r w:rsidR="00A53E69">
        <w:rPr>
          <w:rFonts w:asciiTheme="majorHAnsi" w:hAnsiTheme="majorHAnsi" w:cstheme="majorHAnsi"/>
        </w:rPr>
        <w:t xml:space="preserve">(to be made available during/post GAPPA JA conference </w:t>
      </w:r>
      <w:r w:rsidR="00471930">
        <w:rPr>
          <w:rFonts w:asciiTheme="majorHAnsi" w:hAnsiTheme="majorHAnsi" w:cstheme="majorHAnsi"/>
        </w:rPr>
        <w:t xml:space="preserve">on the </w:t>
      </w:r>
      <w:hyperlink r:id="rId12" w:history="1">
        <w:r w:rsidR="00471930" w:rsidRPr="00471930">
          <w:rPr>
            <w:rStyle w:val="Hyperlink"/>
            <w:rFonts w:asciiTheme="majorHAnsi" w:hAnsiTheme="majorHAnsi" w:cstheme="majorHAnsi"/>
            <w:b/>
            <w:bCs/>
          </w:rPr>
          <w:t>website</w:t>
        </w:r>
      </w:hyperlink>
      <w:r w:rsidR="00471930" w:rsidRPr="00471930">
        <w:rPr>
          <w:rFonts w:asciiTheme="majorHAnsi" w:hAnsiTheme="majorHAnsi" w:cstheme="majorHAnsi"/>
          <w:b/>
          <w:bCs/>
        </w:rPr>
        <w:t xml:space="preserve"> </w:t>
      </w:r>
      <w:r w:rsidR="00A53E69">
        <w:rPr>
          <w:rFonts w:asciiTheme="majorHAnsi" w:hAnsiTheme="majorHAnsi" w:cstheme="majorHAnsi"/>
        </w:rPr>
        <w:t xml:space="preserve">and through our </w:t>
      </w:r>
      <w:r w:rsidR="00A53E69" w:rsidRPr="00A53E69">
        <w:rPr>
          <w:rFonts w:asciiTheme="majorHAnsi" w:hAnsiTheme="majorHAnsi" w:cstheme="majorHAnsi"/>
          <w:b/>
          <w:bCs/>
        </w:rPr>
        <w:t>social media</w:t>
      </w:r>
      <w:r w:rsidR="00A53E69">
        <w:rPr>
          <w:rFonts w:asciiTheme="majorHAnsi" w:hAnsiTheme="majorHAnsi" w:cstheme="majorHAnsi"/>
        </w:rPr>
        <w:t xml:space="preserve"> </w:t>
      </w:r>
      <w:hyperlink r:id="rId13" w:history="1">
        <w:r w:rsidR="00A53E69" w:rsidRPr="005A2BC5">
          <w:rPr>
            <w:rStyle w:val="Hyperlink"/>
            <w:rFonts w:asciiTheme="majorHAnsi" w:hAnsiTheme="majorHAnsi" w:cstheme="majorHAnsi"/>
            <w:b/>
            <w:bCs/>
          </w:rPr>
          <w:t>t</w:t>
        </w:r>
        <w:r w:rsidR="005A2BC5" w:rsidRPr="005A2BC5">
          <w:rPr>
            <w:rStyle w:val="Hyperlink"/>
            <w:rFonts w:asciiTheme="majorHAnsi" w:hAnsiTheme="majorHAnsi" w:cstheme="majorHAnsi"/>
            <w:b/>
            <w:bCs/>
          </w:rPr>
          <w:t>witter</w:t>
        </w:r>
      </w:hyperlink>
      <w:r w:rsidR="00A53E69" w:rsidRPr="00A53E69">
        <w:rPr>
          <w:rFonts w:asciiTheme="majorHAnsi" w:hAnsiTheme="majorHAnsi" w:cstheme="majorHAnsi"/>
          <w:b/>
          <w:bCs/>
        </w:rPr>
        <w:t xml:space="preserve">, </w:t>
      </w:r>
      <w:hyperlink r:id="rId14" w:history="1">
        <w:r w:rsidR="00A53E69" w:rsidRPr="005A2BC5">
          <w:rPr>
            <w:rStyle w:val="Hyperlink"/>
            <w:rFonts w:asciiTheme="majorHAnsi" w:hAnsiTheme="majorHAnsi" w:cstheme="majorHAnsi"/>
            <w:b/>
            <w:bCs/>
          </w:rPr>
          <w:t>f</w:t>
        </w:r>
        <w:r w:rsidR="005A2BC5" w:rsidRPr="005A2BC5">
          <w:rPr>
            <w:rStyle w:val="Hyperlink"/>
            <w:rFonts w:asciiTheme="majorHAnsi" w:hAnsiTheme="majorHAnsi" w:cstheme="majorHAnsi"/>
            <w:b/>
            <w:bCs/>
          </w:rPr>
          <w:t>acebook</w:t>
        </w:r>
        <w:r w:rsidR="00A53E69" w:rsidRPr="005A2BC5">
          <w:rPr>
            <w:rStyle w:val="Hyperlink"/>
            <w:rFonts w:asciiTheme="majorHAnsi" w:hAnsiTheme="majorHAnsi" w:cstheme="majorHAnsi"/>
            <w:b/>
            <w:bCs/>
          </w:rPr>
          <w:t>,</w:t>
        </w:r>
      </w:hyperlink>
      <w:r w:rsidR="00A53E69" w:rsidRPr="00A53E69">
        <w:rPr>
          <w:rFonts w:asciiTheme="majorHAnsi" w:hAnsiTheme="majorHAnsi" w:cstheme="majorHAnsi"/>
          <w:b/>
          <w:bCs/>
        </w:rPr>
        <w:t xml:space="preserve"> </w:t>
      </w:r>
      <w:hyperlink r:id="rId15" w:history="1">
        <w:r w:rsidR="005A2BC5" w:rsidRPr="005A2BC5">
          <w:rPr>
            <w:rStyle w:val="Hyperlink"/>
            <w:rFonts w:asciiTheme="majorHAnsi" w:hAnsiTheme="majorHAnsi" w:cstheme="majorHAnsi"/>
            <w:b/>
            <w:bCs/>
          </w:rPr>
          <w:t>Linked</w:t>
        </w:r>
        <w:r w:rsidR="00A53E69" w:rsidRPr="005A2BC5">
          <w:rPr>
            <w:rStyle w:val="Hyperlink"/>
            <w:rFonts w:asciiTheme="majorHAnsi" w:hAnsiTheme="majorHAnsi" w:cstheme="majorHAnsi"/>
            <w:b/>
            <w:bCs/>
          </w:rPr>
          <w:t>in</w:t>
        </w:r>
      </w:hyperlink>
      <w:r w:rsidR="00A53E69">
        <w:rPr>
          <w:rFonts w:asciiTheme="majorHAnsi" w:hAnsiTheme="majorHAnsi" w:cstheme="majorHAnsi"/>
        </w:rPr>
        <w:t>)</w:t>
      </w:r>
    </w:p>
    <w:p w14:paraId="62B529A0" w14:textId="0781F40B" w:rsidR="00536138" w:rsidRDefault="003002FF" w:rsidP="00A745AF">
      <w:pPr>
        <w:spacing w:after="0" w:line="276" w:lineRule="auto"/>
        <w:rPr>
          <w:rFonts w:asciiTheme="majorHAnsi" w:hAnsiTheme="majorHAnsi" w:cstheme="majorHAnsi"/>
          <w:b/>
          <w:bCs/>
          <w:lang w:val="en-GB"/>
        </w:rPr>
      </w:pPr>
      <w:r w:rsidRPr="008F0D92">
        <w:rPr>
          <w:rFonts w:asciiTheme="majorHAnsi" w:hAnsiTheme="majorHAnsi" w:cstheme="majorHAnsi"/>
          <w:b/>
          <w:bCs/>
          <w:lang w:val="en-GB"/>
        </w:rPr>
        <w:t>Press contact</w:t>
      </w:r>
      <w:r w:rsidR="00012908">
        <w:rPr>
          <w:rFonts w:asciiTheme="majorHAnsi" w:hAnsiTheme="majorHAnsi" w:cstheme="majorHAnsi"/>
          <w:b/>
          <w:bCs/>
          <w:lang w:val="en-GB"/>
        </w:rPr>
        <w:t>s</w:t>
      </w:r>
      <w:r w:rsidRPr="008F0D92">
        <w:rPr>
          <w:rFonts w:asciiTheme="majorHAnsi" w:hAnsiTheme="majorHAnsi" w:cstheme="majorHAnsi"/>
          <w:b/>
          <w:bCs/>
          <w:lang w:val="en-GB"/>
        </w:rPr>
        <w:t xml:space="preserve">: </w:t>
      </w:r>
      <w:r w:rsidR="008A6FED">
        <w:rPr>
          <w:rFonts w:asciiTheme="majorHAnsi" w:hAnsiTheme="majorHAnsi" w:cstheme="majorHAnsi"/>
          <w:b/>
          <w:bCs/>
          <w:lang w:val="en-GB"/>
        </w:rPr>
        <w:br/>
      </w:r>
      <w:r w:rsidR="00536138" w:rsidRPr="008A6FED">
        <w:rPr>
          <w:rFonts w:asciiTheme="majorHAnsi" w:hAnsiTheme="majorHAnsi" w:cstheme="majorHAnsi"/>
          <w:lang w:val="en-GB"/>
        </w:rPr>
        <w:t>To contact the</w:t>
      </w:r>
      <w:r w:rsidR="00536138">
        <w:rPr>
          <w:rFonts w:asciiTheme="majorHAnsi" w:hAnsiTheme="majorHAnsi" w:cstheme="majorHAnsi"/>
          <w:b/>
          <w:bCs/>
          <w:lang w:val="en-GB"/>
        </w:rPr>
        <w:t xml:space="preserve"> European Commission </w:t>
      </w:r>
      <w:hyperlink r:id="rId16" w:history="1">
        <w:r w:rsidR="001B53F8" w:rsidRPr="0082616A">
          <w:rPr>
            <w:rStyle w:val="Hyperlink"/>
            <w:rFonts w:asciiTheme="majorHAnsi" w:hAnsiTheme="majorHAnsi" w:cstheme="majorHAnsi"/>
            <w:b/>
            <w:bCs/>
            <w:lang w:val="en-GB"/>
          </w:rPr>
          <w:t>SANTE-SOHO@ec.europa.eu</w:t>
        </w:r>
      </w:hyperlink>
      <w:r w:rsidR="001B53F8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521BF303" w14:textId="60D97168" w:rsidR="003002FF" w:rsidRPr="008F0D92" w:rsidRDefault="008A6FED" w:rsidP="00A745AF">
      <w:pPr>
        <w:spacing w:after="0" w:line="276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8A6FED">
        <w:rPr>
          <w:rFonts w:asciiTheme="majorHAnsi" w:hAnsiTheme="majorHAnsi" w:cstheme="majorHAnsi"/>
          <w:lang w:val="en-GB"/>
        </w:rPr>
        <w:t>To contact</w:t>
      </w:r>
      <w:r>
        <w:rPr>
          <w:rFonts w:asciiTheme="majorHAnsi" w:hAnsiTheme="majorHAnsi" w:cstheme="majorHAnsi"/>
          <w:b/>
          <w:bCs/>
          <w:lang w:val="en-GB"/>
        </w:rPr>
        <w:t xml:space="preserve"> </w:t>
      </w:r>
      <w:r w:rsidR="003002FF" w:rsidRPr="008F0D92">
        <w:rPr>
          <w:rFonts w:asciiTheme="majorHAnsi" w:hAnsiTheme="majorHAnsi" w:cstheme="majorHAnsi"/>
          <w:b/>
          <w:bCs/>
          <w:lang w:val="en-GB"/>
        </w:rPr>
        <w:t>GAPP JA</w:t>
      </w:r>
      <w:r>
        <w:rPr>
          <w:rFonts w:asciiTheme="majorHAnsi" w:hAnsiTheme="majorHAnsi" w:cstheme="majorHAnsi"/>
          <w:b/>
          <w:bCs/>
          <w:lang w:val="en-GB"/>
        </w:rPr>
        <w:t xml:space="preserve"> </w:t>
      </w:r>
      <w:hyperlink r:id="rId17" w:history="1">
        <w:r w:rsidRPr="00B642CB">
          <w:rPr>
            <w:rStyle w:val="Hyperlink"/>
            <w:rFonts w:asciiTheme="majorHAnsi" w:hAnsiTheme="majorHAnsi" w:cstheme="majorHAnsi"/>
            <w:b/>
            <w:bCs/>
            <w:lang w:val="en-GB"/>
          </w:rPr>
          <w:t>conference@gapp-ja.eu</w:t>
        </w:r>
      </w:hyperlink>
      <w:r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1546A757" w14:textId="77777777" w:rsidR="003002FF" w:rsidRPr="008F0D92" w:rsidRDefault="003002FF" w:rsidP="003002FF">
      <w:pPr>
        <w:jc w:val="both"/>
        <w:rPr>
          <w:rFonts w:asciiTheme="majorHAnsi" w:hAnsiTheme="majorHAnsi" w:cstheme="majorHAnsi"/>
          <w:b/>
          <w:bCs/>
          <w:lang w:val="en-GB"/>
        </w:rPr>
      </w:pPr>
    </w:p>
    <w:p w14:paraId="5DA39D15" w14:textId="63F8B3BE" w:rsidR="00A81100" w:rsidRPr="00A53E69" w:rsidRDefault="00A81100" w:rsidP="00A53E69"/>
    <w:sectPr w:rsidR="00A81100" w:rsidRPr="00A53E69" w:rsidSect="005C483A">
      <w:headerReference w:type="default" r:id="rId18"/>
      <w:footerReference w:type="default" r:id="rId19"/>
      <w:pgSz w:w="12240" w:h="15840"/>
      <w:pgMar w:top="1440" w:right="1440" w:bottom="1440" w:left="1440" w:header="720" w:footer="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06C7" w14:textId="77777777" w:rsidR="00363CEE" w:rsidRDefault="00363CEE" w:rsidP="009436AC">
      <w:pPr>
        <w:spacing w:after="0" w:line="240" w:lineRule="auto"/>
      </w:pPr>
      <w:r>
        <w:separator/>
      </w:r>
    </w:p>
  </w:endnote>
  <w:endnote w:type="continuationSeparator" w:id="0">
    <w:p w14:paraId="657DBBBF" w14:textId="77777777" w:rsidR="00363CEE" w:rsidRDefault="00363CEE" w:rsidP="009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9436AC" w14:paraId="1258F6FA" w14:textId="77777777" w:rsidTr="009436AC">
      <w:trPr>
        <w:jc w:val="center"/>
      </w:trPr>
      <w:tc>
        <w:tcPr>
          <w:tcW w:w="3116" w:type="dxa"/>
        </w:tcPr>
        <w:p w14:paraId="259280B9" w14:textId="7FD56573" w:rsidR="009436AC" w:rsidRDefault="009436AC" w:rsidP="009436AC">
          <w:pPr>
            <w:jc w:val="center"/>
          </w:pPr>
        </w:p>
      </w:tc>
      <w:tc>
        <w:tcPr>
          <w:tcW w:w="3117" w:type="dxa"/>
        </w:tcPr>
        <w:p w14:paraId="0060FBF9" w14:textId="38A1FA2B" w:rsidR="009436AC" w:rsidRDefault="009436AC" w:rsidP="009436AC">
          <w:pPr>
            <w:jc w:val="center"/>
          </w:pPr>
        </w:p>
      </w:tc>
      <w:tc>
        <w:tcPr>
          <w:tcW w:w="3117" w:type="dxa"/>
        </w:tcPr>
        <w:p w14:paraId="23AF2CDE" w14:textId="3907142B" w:rsidR="009436AC" w:rsidRDefault="009436AC" w:rsidP="009436AC">
          <w:pPr>
            <w:jc w:val="center"/>
          </w:pPr>
        </w:p>
      </w:tc>
    </w:tr>
  </w:tbl>
  <w:p w14:paraId="79199400" w14:textId="58B3C944" w:rsidR="009436AC" w:rsidRDefault="00671F5A" w:rsidP="009436AC">
    <w:pPr>
      <w:pStyle w:val="Footer"/>
      <w:tabs>
        <w:tab w:val="clear" w:pos="4680"/>
        <w:tab w:val="clear" w:pos="9360"/>
        <w:tab w:val="left" w:pos="3272"/>
      </w:tabs>
    </w:pPr>
    <w:r>
      <w:rPr>
        <w:rFonts w:asciiTheme="majorHAnsi" w:hAnsiTheme="majorHAnsi" w:cstheme="majorHAnsi"/>
        <w:noProof/>
        <w:lang w:val="it-IT" w:eastAsia="it-IT"/>
      </w:rPr>
      <w:drawing>
        <wp:anchor distT="0" distB="0" distL="114300" distR="114300" simplePos="0" relativeHeight="251670528" behindDoc="0" locked="0" layoutInCell="1" allowOverlap="1" wp14:anchorId="2C73FD2C" wp14:editId="78C44158">
          <wp:simplePos x="0" y="0"/>
          <wp:positionH relativeFrom="column">
            <wp:posOffset>-813459</wp:posOffset>
          </wp:positionH>
          <wp:positionV relativeFrom="paragraph">
            <wp:posOffset>266700</wp:posOffset>
          </wp:positionV>
          <wp:extent cx="1406570" cy="359457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70" cy="359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B52">
      <w:rPr>
        <w:rFonts w:asciiTheme="majorHAnsi" w:hAnsiTheme="majorHAnsi" w:cstheme="majorHAnsi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C0BCE4C" wp14:editId="70E69374">
              <wp:simplePos x="0" y="0"/>
              <wp:positionH relativeFrom="column">
                <wp:posOffset>629285</wp:posOffset>
              </wp:positionH>
              <wp:positionV relativeFrom="paragraph">
                <wp:posOffset>271145</wp:posOffset>
              </wp:positionV>
              <wp:extent cx="6192520" cy="4940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494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40390" w14:textId="77777777" w:rsidR="005C483A" w:rsidRPr="00671F5A" w:rsidRDefault="005C483A" w:rsidP="00671F5A">
                          <w:pPr>
                            <w:jc w:val="both"/>
                            <w:rPr>
                              <w:color w:val="FFFFFF" w:themeColor="background1"/>
                              <w:sz w:val="12"/>
                              <w:szCs w:val="16"/>
                            </w:rPr>
                          </w:pPr>
                          <w:r w:rsidRPr="00671F5A">
                            <w:rPr>
                              <w:color w:val="FFFFFF" w:themeColor="background1"/>
                              <w:sz w:val="12"/>
                              <w:szCs w:val="16"/>
                            </w:rPr>
                            <w:t xml:space="preserve">This letter is part of the project / joint action ‘785269 / GAPP’ which has received funding from the European Union’s Health Programme (2014-2020). The content of this letter represents the views of the author only and is his/her sole responsibility; it can not be considered to reflect the views of the European Commission and/or the </w:t>
                          </w:r>
                          <w:r w:rsidR="00CB7DAC" w:rsidRPr="00CB7DAC">
                            <w:rPr>
                              <w:color w:val="FFFFFF" w:themeColor="background1"/>
                              <w:sz w:val="12"/>
                              <w:szCs w:val="16"/>
                            </w:rPr>
                            <w:t>European Health and Digital Executive Agency (HaDEA)</w:t>
                          </w:r>
                          <w:r w:rsidRPr="00671F5A">
                            <w:rPr>
                              <w:color w:val="FFFFFF" w:themeColor="background1"/>
                              <w:sz w:val="12"/>
                              <w:szCs w:val="16"/>
                            </w:rPr>
                            <w:t>or any other body of the European Union. The European Commission and the Agency do not accept any responsibility for use that may be made of the information it contains.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0BCE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55pt;margin-top:21.35pt;width:487.6pt;height:38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" filled="f" stroked="f">
              <v:textbox style="mso-fit-shape-to-text:t">
                <w:txbxContent>
                  <w:p w14:paraId="5CD40390" w14:textId="77777777" w:rsidR="005C483A" w:rsidRPr="00671F5A" w:rsidRDefault="005C483A" w:rsidP="00671F5A">
                    <w:pPr>
                      <w:jc w:val="both"/>
                      <w:rPr>
                        <w:color w:val="FFFFFF" w:themeColor="background1"/>
                        <w:sz w:val="12"/>
                        <w:szCs w:val="16"/>
                      </w:rPr>
                    </w:pPr>
                    <w:r w:rsidRPr="00671F5A">
                      <w:rPr>
                        <w:color w:val="FFFFFF" w:themeColor="background1"/>
                        <w:sz w:val="12"/>
                        <w:szCs w:val="16"/>
                      </w:rPr>
                      <w:t xml:space="preserve">This letter is part of the project / joint action ‘785269 / GAPP’ which has received funding from the European Union’s Health Programme (2014-2020). The content of this letter represents the views of the author only and is his/her sole responsibility; it can not be considered to reflect the views of the European Commission and/or the </w:t>
                    </w:r>
                    <w:r w:rsidR="00CB7DAC" w:rsidRPr="00CB7DAC">
                      <w:rPr>
                        <w:color w:val="FFFFFF" w:themeColor="background1"/>
                        <w:sz w:val="12"/>
                        <w:szCs w:val="16"/>
                      </w:rPr>
                      <w:t>European Health and Digital Executive Agency (HaDEA)</w:t>
                    </w:r>
                    <w:r w:rsidRPr="00671F5A">
                      <w:rPr>
                        <w:color w:val="FFFFFF" w:themeColor="background1"/>
                        <w:sz w:val="12"/>
                        <w:szCs w:val="16"/>
                      </w:rPr>
                      <w:t>or any other body of the European Union. The European Commission and the Agency do not accept any responsibility for use that may be made of the information it contains.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483A" w:rsidRPr="009436AC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0BF600DF" wp14:editId="778C1485">
          <wp:simplePos x="0" y="0"/>
          <wp:positionH relativeFrom="column">
            <wp:posOffset>-934720</wp:posOffset>
          </wp:positionH>
          <wp:positionV relativeFrom="paragraph">
            <wp:posOffset>67291</wp:posOffset>
          </wp:positionV>
          <wp:extent cx="8863476" cy="648459"/>
          <wp:effectExtent l="0" t="0" r="0" b="0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476" cy="64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FAFA" w14:textId="77777777" w:rsidR="00363CEE" w:rsidRDefault="00363CEE" w:rsidP="009436AC">
      <w:pPr>
        <w:spacing w:after="0" w:line="240" w:lineRule="auto"/>
      </w:pPr>
      <w:r>
        <w:separator/>
      </w:r>
    </w:p>
  </w:footnote>
  <w:footnote w:type="continuationSeparator" w:id="0">
    <w:p w14:paraId="328BDB51" w14:textId="77777777" w:rsidR="00363CEE" w:rsidRDefault="00363CEE" w:rsidP="0094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8A9A" w14:textId="7A55674D" w:rsidR="009436AC" w:rsidRDefault="00820B52">
    <w:pPr>
      <w:pStyle w:val="Header"/>
    </w:pPr>
    <w:r>
      <w:rPr>
        <w:rFonts w:asciiTheme="majorHAnsi" w:hAnsiTheme="majorHAnsi" w:cstheme="majorHAnsi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65CB9CA" wp14:editId="7815E093">
              <wp:simplePos x="0" y="0"/>
              <wp:positionH relativeFrom="column">
                <wp:posOffset>4218305</wp:posOffset>
              </wp:positionH>
              <wp:positionV relativeFrom="paragraph">
                <wp:posOffset>88265</wp:posOffset>
              </wp:positionV>
              <wp:extent cx="2737485" cy="218440"/>
              <wp:effectExtent l="0" t="0" r="0" b="0"/>
              <wp:wrapNone/>
              <wp:docPr id="2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218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C2448" w14:textId="77777777" w:rsidR="005C483A" w:rsidRPr="005C483A" w:rsidRDefault="005C483A" w:rsidP="005C483A">
                          <w:pPr>
                            <w:rPr>
                              <w:color w:val="FFFFFF" w:themeColor="background1"/>
                              <w:sz w:val="2"/>
                            </w:rPr>
                          </w:pPr>
                          <w:r w:rsidRPr="005C483A">
                            <w:rPr>
                              <w:color w:val="FFFFFF" w:themeColor="background1"/>
                              <w:sz w:val="12"/>
                              <w:lang w:val="nl-NL"/>
                            </w:rPr>
                            <w:t>facilitatinG the Authorisation of PreparationProcess for blood, tissues and cells</w:t>
                          </w:r>
                        </w:p>
                        <w:p w14:paraId="0B08C2A3" w14:textId="77777777" w:rsidR="005C483A" w:rsidRPr="005C483A" w:rsidRDefault="005C483A" w:rsidP="005C483A">
                          <w:pPr>
                            <w:rPr>
                              <w:rFonts w:cstheme="minorHAnsi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CB9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15pt;margin-top:6.95pt;width:215.55pt;height:1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" filled="f" stroked="f">
              <v:textbox>
                <w:txbxContent>
                  <w:p w14:paraId="53FC2448" w14:textId="77777777" w:rsidR="005C483A" w:rsidRPr="005C483A" w:rsidRDefault="005C483A" w:rsidP="005C483A">
                    <w:pPr>
                      <w:rPr>
                        <w:color w:val="FFFFFF" w:themeColor="background1"/>
                        <w:sz w:val="2"/>
                      </w:rPr>
                    </w:pPr>
                    <w:r w:rsidRPr="005C483A">
                      <w:rPr>
                        <w:color w:val="FFFFFF" w:themeColor="background1"/>
                        <w:sz w:val="12"/>
                        <w:lang w:val="nl-NL"/>
                      </w:rPr>
                      <w:t>facilitatinG the Authorisation of PreparationProcess for blood, tissues and cells</w:t>
                    </w:r>
                  </w:p>
                  <w:p w14:paraId="0B08C2A3" w14:textId="77777777" w:rsidR="005C483A" w:rsidRPr="005C483A" w:rsidRDefault="005C483A" w:rsidP="005C483A">
                    <w:pPr>
                      <w:rPr>
                        <w:rFonts w:cstheme="minorHAnsi"/>
                        <w:sz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9436AC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3E50630F" wp14:editId="2CF5123D">
          <wp:simplePos x="0" y="0"/>
          <wp:positionH relativeFrom="column">
            <wp:posOffset>-11240</wp:posOffset>
          </wp:positionH>
          <wp:positionV relativeFrom="paragraph">
            <wp:posOffset>-40005</wp:posOffset>
          </wp:positionV>
          <wp:extent cx="1035245" cy="394000"/>
          <wp:effectExtent l="0" t="0" r="0" b="6350"/>
          <wp:wrapNone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45" cy="3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36AC" w:rsidRPr="009436AC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50C97531" wp14:editId="5BA1BA22">
          <wp:simplePos x="0" y="0"/>
          <wp:positionH relativeFrom="column">
            <wp:posOffset>-936346</wp:posOffset>
          </wp:positionH>
          <wp:positionV relativeFrom="paragraph">
            <wp:posOffset>3658</wp:posOffset>
          </wp:positionV>
          <wp:extent cx="7893101" cy="337820"/>
          <wp:effectExtent l="0" t="0" r="0" b="5080"/>
          <wp:wrapNone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852" cy="35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0A4"/>
    <w:multiLevelType w:val="multilevel"/>
    <w:tmpl w:val="4ED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358A"/>
    <w:multiLevelType w:val="hybridMultilevel"/>
    <w:tmpl w:val="785CD53E"/>
    <w:lvl w:ilvl="0" w:tplc="51A8F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A8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3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68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6C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04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CF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E6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61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764C19"/>
    <w:multiLevelType w:val="hybridMultilevel"/>
    <w:tmpl w:val="2D22E794"/>
    <w:lvl w:ilvl="0" w:tplc="C07E2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44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2F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EC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03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6A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E3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C2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CB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1E0186"/>
    <w:multiLevelType w:val="hybridMultilevel"/>
    <w:tmpl w:val="596628CE"/>
    <w:lvl w:ilvl="0" w:tplc="A970A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269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0C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C8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6F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E2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46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46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F2C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6F44D4"/>
    <w:multiLevelType w:val="hybridMultilevel"/>
    <w:tmpl w:val="6BD44042"/>
    <w:lvl w:ilvl="0" w:tplc="ABD47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85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6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0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8F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E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6E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436AC"/>
    <w:rsid w:val="00012908"/>
    <w:rsid w:val="00083CFF"/>
    <w:rsid w:val="000852EC"/>
    <w:rsid w:val="001143B7"/>
    <w:rsid w:val="00153A08"/>
    <w:rsid w:val="0017146A"/>
    <w:rsid w:val="001B53F8"/>
    <w:rsid w:val="001C6550"/>
    <w:rsid w:val="001C76D0"/>
    <w:rsid w:val="001D276B"/>
    <w:rsid w:val="00217E89"/>
    <w:rsid w:val="00224AD8"/>
    <w:rsid w:val="00226675"/>
    <w:rsid w:val="00236948"/>
    <w:rsid w:val="00282826"/>
    <w:rsid w:val="002A17CD"/>
    <w:rsid w:val="002B1571"/>
    <w:rsid w:val="002C4852"/>
    <w:rsid w:val="002D4CDB"/>
    <w:rsid w:val="002D544F"/>
    <w:rsid w:val="002E17AE"/>
    <w:rsid w:val="002F28AD"/>
    <w:rsid w:val="003002FF"/>
    <w:rsid w:val="00323E56"/>
    <w:rsid w:val="00332F91"/>
    <w:rsid w:val="00353D52"/>
    <w:rsid w:val="00363CEE"/>
    <w:rsid w:val="003726E3"/>
    <w:rsid w:val="00382448"/>
    <w:rsid w:val="003A4773"/>
    <w:rsid w:val="003D5FD8"/>
    <w:rsid w:val="003F68C3"/>
    <w:rsid w:val="003F7372"/>
    <w:rsid w:val="004252F7"/>
    <w:rsid w:val="00427017"/>
    <w:rsid w:val="004279A9"/>
    <w:rsid w:val="00471930"/>
    <w:rsid w:val="00487D88"/>
    <w:rsid w:val="004A150E"/>
    <w:rsid w:val="004A64A4"/>
    <w:rsid w:val="004B5229"/>
    <w:rsid w:val="004F51CF"/>
    <w:rsid w:val="005211B1"/>
    <w:rsid w:val="00536138"/>
    <w:rsid w:val="00541F5B"/>
    <w:rsid w:val="005A2BC5"/>
    <w:rsid w:val="005B4F82"/>
    <w:rsid w:val="005C483A"/>
    <w:rsid w:val="006120A9"/>
    <w:rsid w:val="0063037C"/>
    <w:rsid w:val="006521E1"/>
    <w:rsid w:val="0066252F"/>
    <w:rsid w:val="00671F5A"/>
    <w:rsid w:val="00687DD3"/>
    <w:rsid w:val="00700A72"/>
    <w:rsid w:val="00710F59"/>
    <w:rsid w:val="007140EC"/>
    <w:rsid w:val="007217CE"/>
    <w:rsid w:val="007304D7"/>
    <w:rsid w:val="00732573"/>
    <w:rsid w:val="00771FFA"/>
    <w:rsid w:val="00773F15"/>
    <w:rsid w:val="00777F04"/>
    <w:rsid w:val="0079392A"/>
    <w:rsid w:val="00794BC5"/>
    <w:rsid w:val="007A1ED2"/>
    <w:rsid w:val="007D34FC"/>
    <w:rsid w:val="007F5323"/>
    <w:rsid w:val="00803CA0"/>
    <w:rsid w:val="00811E32"/>
    <w:rsid w:val="00820B52"/>
    <w:rsid w:val="008532C5"/>
    <w:rsid w:val="00857728"/>
    <w:rsid w:val="008639BF"/>
    <w:rsid w:val="00882558"/>
    <w:rsid w:val="008A6FED"/>
    <w:rsid w:val="008C1E02"/>
    <w:rsid w:val="008C6950"/>
    <w:rsid w:val="0092420C"/>
    <w:rsid w:val="009337D6"/>
    <w:rsid w:val="0093445D"/>
    <w:rsid w:val="009436AC"/>
    <w:rsid w:val="00945F4C"/>
    <w:rsid w:val="009467C8"/>
    <w:rsid w:val="00946A72"/>
    <w:rsid w:val="009538C4"/>
    <w:rsid w:val="009551CF"/>
    <w:rsid w:val="009563EF"/>
    <w:rsid w:val="009B7AD1"/>
    <w:rsid w:val="00A15B65"/>
    <w:rsid w:val="00A235E8"/>
    <w:rsid w:val="00A37E49"/>
    <w:rsid w:val="00A40FE9"/>
    <w:rsid w:val="00A430D4"/>
    <w:rsid w:val="00A46C80"/>
    <w:rsid w:val="00A53E69"/>
    <w:rsid w:val="00A60819"/>
    <w:rsid w:val="00A745AF"/>
    <w:rsid w:val="00A81100"/>
    <w:rsid w:val="00AA3AA4"/>
    <w:rsid w:val="00BA435F"/>
    <w:rsid w:val="00BB3FAC"/>
    <w:rsid w:val="00BB455B"/>
    <w:rsid w:val="00BE0A67"/>
    <w:rsid w:val="00BE261A"/>
    <w:rsid w:val="00C35E17"/>
    <w:rsid w:val="00C5370F"/>
    <w:rsid w:val="00C553B8"/>
    <w:rsid w:val="00CB7DAC"/>
    <w:rsid w:val="00CC134C"/>
    <w:rsid w:val="00CC1E7F"/>
    <w:rsid w:val="00CC3CDA"/>
    <w:rsid w:val="00CD1C1E"/>
    <w:rsid w:val="00CD5C87"/>
    <w:rsid w:val="00CE57FD"/>
    <w:rsid w:val="00D03208"/>
    <w:rsid w:val="00D23AC4"/>
    <w:rsid w:val="00D31FCB"/>
    <w:rsid w:val="00D47722"/>
    <w:rsid w:val="00D6490D"/>
    <w:rsid w:val="00D757C8"/>
    <w:rsid w:val="00D95B3C"/>
    <w:rsid w:val="00D973FE"/>
    <w:rsid w:val="00DC65AC"/>
    <w:rsid w:val="00DC6D9D"/>
    <w:rsid w:val="00DD292F"/>
    <w:rsid w:val="00DE588A"/>
    <w:rsid w:val="00DF7F10"/>
    <w:rsid w:val="00E04CC5"/>
    <w:rsid w:val="00E06C00"/>
    <w:rsid w:val="00E11E9D"/>
    <w:rsid w:val="00E23D79"/>
    <w:rsid w:val="00E508F0"/>
    <w:rsid w:val="00E72B6F"/>
    <w:rsid w:val="00EC1474"/>
    <w:rsid w:val="00EC21FF"/>
    <w:rsid w:val="00EC6B17"/>
    <w:rsid w:val="00ED1A49"/>
    <w:rsid w:val="00EF27DA"/>
    <w:rsid w:val="00F61C62"/>
    <w:rsid w:val="00F742F3"/>
    <w:rsid w:val="00F84116"/>
    <w:rsid w:val="00F93A42"/>
    <w:rsid w:val="00FA0280"/>
    <w:rsid w:val="00FA0A58"/>
    <w:rsid w:val="00FA1FAC"/>
    <w:rsid w:val="00FA22D3"/>
    <w:rsid w:val="00FD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9C614"/>
  <w15:docId w15:val="{3775D181-6675-4E3D-BEBA-3928B7C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AC"/>
  </w:style>
  <w:style w:type="paragraph" w:styleId="Footer">
    <w:name w:val="footer"/>
    <w:basedOn w:val="Normal"/>
    <w:link w:val="FooterChar"/>
    <w:uiPriority w:val="99"/>
    <w:unhideWhenUsed/>
    <w:rsid w:val="0094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AC"/>
  </w:style>
  <w:style w:type="table" w:styleId="TableGrid">
    <w:name w:val="Table Grid"/>
    <w:basedOn w:val="TableNormal"/>
    <w:uiPriority w:val="39"/>
    <w:rsid w:val="0094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3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5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BC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3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6F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3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better-regulation/have-your-say/initiatives/12734-Blood-tissues-and-cells-for-medical-treatments-&amp;-therapies-revised-EU-rules_en" TargetMode="External"/><Relationship Id="rId13" Type="http://schemas.openxmlformats.org/officeDocument/2006/relationships/hyperlink" Target="https://twitter.com/GAPPj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app-ja.eu" TargetMode="External"/><Relationship Id="rId12" Type="http://schemas.openxmlformats.org/officeDocument/2006/relationships/hyperlink" Target="https://www.gapp-ja.eu/conference_media_material/" TargetMode="External"/><Relationship Id="rId17" Type="http://schemas.openxmlformats.org/officeDocument/2006/relationships/hyperlink" Target="mailto:conference@gapp-ja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TE-SOHO@ec.europa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h4Xk41knq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gapp-ja/" TargetMode="External"/><Relationship Id="rId10" Type="http://schemas.openxmlformats.org/officeDocument/2006/relationships/hyperlink" Target="https://www.gapp-ja.eu/wp-content/uploads/2022/01/infographic1_1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pp-ja.eu/wp-content/uploads/2022/01/infographic2_1.jpg" TargetMode="External"/><Relationship Id="rId14" Type="http://schemas.openxmlformats.org/officeDocument/2006/relationships/hyperlink" Target="https://www.facebook.com/GAPPjointActio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</cp:lastModifiedBy>
  <cp:revision>15</cp:revision>
  <dcterms:created xsi:type="dcterms:W3CDTF">2022-01-17T16:04:00Z</dcterms:created>
  <dcterms:modified xsi:type="dcterms:W3CDTF">2022-01-19T09:01:00Z</dcterms:modified>
</cp:coreProperties>
</file>